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#96bis                                                                             R1-1905133</w:t>
      </w:r>
    </w:p>
    <w:bookmarkEnd w:id="0"/>
    <w:p>
      <w:pPr>
        <w:pStyle w:val="23"/>
        <w:snapToGrid w:val="0"/>
        <w:spacing w:after="180" w:afterLines="50" w:line="240" w:lineRule="auto"/>
        <w:rPr>
          <w:sz w:val="20"/>
          <w:szCs w:val="22"/>
          <w:lang w:eastAsia="ja-JP"/>
        </w:rPr>
      </w:pPr>
      <w:r>
        <w:rPr>
          <w:rFonts w:hint="eastAsia"/>
          <w:sz w:val="20"/>
          <w:szCs w:val="22"/>
          <w:lang w:eastAsia="ja-JP"/>
        </w:rPr>
        <w:t>Xi’an, China, 8</w:t>
      </w:r>
      <w:r>
        <w:rPr>
          <w:rFonts w:hint="eastAsia"/>
          <w:sz w:val="20"/>
          <w:szCs w:val="22"/>
          <w:vertAlign w:val="superscript"/>
          <w:lang w:eastAsia="ja-JP"/>
        </w:rPr>
        <w:t>th</w:t>
      </w:r>
      <w:r>
        <w:rPr>
          <w:rFonts w:hint="eastAsia"/>
          <w:sz w:val="20"/>
          <w:szCs w:val="22"/>
          <w:lang w:eastAsia="ja-JP"/>
        </w:rPr>
        <w:t xml:space="preserve"> – 12</w:t>
      </w:r>
      <w:r>
        <w:rPr>
          <w:rFonts w:hint="eastAsia"/>
          <w:sz w:val="20"/>
          <w:szCs w:val="22"/>
          <w:vertAlign w:val="superscript"/>
          <w:lang w:eastAsia="ja-JP"/>
        </w:rPr>
        <w:t>th</w:t>
      </w:r>
      <w:r>
        <w:rPr>
          <w:rFonts w:hint="eastAsia"/>
          <w:sz w:val="20"/>
          <w:szCs w:val="22"/>
          <w:lang w:eastAsia="ja-JP"/>
        </w:rPr>
        <w:t xml:space="preserve"> April,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Discussion on CSI-RS measurement</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5</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napToGrid w:val="0"/>
        <w:spacing w:after="120"/>
        <w:rPr>
          <w:rFonts w:eastAsia="宋体"/>
          <w:lang w:val="en-US" w:eastAsia="zh-CN"/>
        </w:rPr>
      </w:pPr>
      <w:r>
        <w:rPr>
          <w:rFonts w:hint="eastAsia" w:eastAsia="宋体"/>
          <w:lang w:val="en-US" w:eastAsia="zh-CN"/>
        </w:rPr>
        <w:t xml:space="preserve">In </w:t>
      </w:r>
      <w:r>
        <w:rPr>
          <w:rFonts w:hint="eastAsia" w:eastAsia="宋体"/>
          <w:kern w:val="2"/>
          <w:sz w:val="21"/>
          <w:szCs w:val="22"/>
          <w:lang w:val="sv-SE" w:eastAsia="zh-CN"/>
        </w:rPr>
        <w:t>RAN2</w:t>
      </w:r>
      <w:r>
        <w:rPr>
          <w:rFonts w:hint="eastAsia" w:eastAsia="宋体"/>
          <w:kern w:val="2"/>
          <w:sz w:val="21"/>
          <w:szCs w:val="22"/>
          <w:lang w:val="en-US" w:eastAsia="zh-CN"/>
        </w:rPr>
        <w:t>#</w:t>
      </w:r>
      <w:r>
        <w:rPr>
          <w:rFonts w:hint="eastAsia" w:eastAsia="宋体"/>
          <w:kern w:val="2"/>
          <w:sz w:val="21"/>
          <w:szCs w:val="22"/>
          <w:lang w:val="sv-SE" w:eastAsia="zh-CN"/>
        </w:rPr>
        <w:t>105</w:t>
      </w:r>
      <w:r>
        <w:rPr>
          <w:rFonts w:hint="eastAsia" w:eastAsia="宋体"/>
          <w:kern w:val="2"/>
          <w:sz w:val="21"/>
          <w:szCs w:val="22"/>
          <w:lang w:val="en-US" w:eastAsia="zh-CN"/>
        </w:rPr>
        <w:t xml:space="preserve"> meeting</w:t>
      </w:r>
      <w:r>
        <w:rPr>
          <w:rFonts w:hint="eastAsia" w:eastAsia="宋体"/>
          <w:lang w:val="en-US" w:eastAsia="zh-CN"/>
        </w:rPr>
        <w:t xml:space="preserve">, an LS was sent from RAN2 to ask RAN1 to clarify the terminology </w:t>
      </w:r>
      <w:r>
        <w:rPr>
          <w:rFonts w:eastAsia="宋体"/>
          <w:lang w:val="en-US" w:eastAsia="zh-CN"/>
        </w:rPr>
        <w:t>‘</w:t>
      </w:r>
      <w:r>
        <w:rPr>
          <w:rFonts w:hint="eastAsia" w:eastAsia="宋体"/>
          <w:lang w:val="en-US" w:eastAsia="zh-CN"/>
        </w:rPr>
        <w:t>frequency layer</w:t>
      </w:r>
      <w:r>
        <w:rPr>
          <w:rFonts w:eastAsia="宋体"/>
          <w:lang w:val="en-US" w:eastAsia="zh-CN"/>
        </w:rPr>
        <w:t>’</w:t>
      </w:r>
      <w:r>
        <w:rPr>
          <w:rFonts w:hint="eastAsia" w:eastAsia="宋体"/>
          <w:lang w:val="en-US" w:eastAsia="zh-CN"/>
        </w:rPr>
        <w:t xml:space="preserve"> since RAN2 does not have the concept in their specification[1]. In this contribution, we mainly provide our views on the reply of RAN2 LS. </w:t>
      </w:r>
    </w:p>
    <w:p>
      <w:pPr>
        <w:pStyle w:val="2"/>
        <w:spacing w:before="180"/>
        <w:rPr>
          <w:lang w:val="en-US"/>
        </w:rPr>
      </w:pPr>
      <w:r>
        <w:rPr>
          <w:rFonts w:hint="eastAsia"/>
          <w:lang w:val="en-US"/>
        </w:rPr>
        <w:t>Discussion</w:t>
      </w:r>
    </w:p>
    <w:p>
      <w:pPr>
        <w:snapToGrid w:val="0"/>
        <w:spacing w:after="120"/>
        <w:rPr>
          <w:rFonts w:hint="eastAsia" w:eastAsia="宋体"/>
          <w:lang w:val="en-US" w:eastAsia="zh-CN"/>
        </w:rPr>
      </w:pPr>
      <w:r>
        <w:rPr>
          <w:rFonts w:hint="eastAsia" w:eastAsia="宋体"/>
          <w:lang w:val="en-US" w:eastAsia="zh-CN"/>
        </w:rPr>
        <w:t xml:space="preserve">The main purpose of restriction on the maximum of CSI-RS resources for L3 mobility per frequency layer is to limit UE measurement complexity when UE performs measurement on a carrier or on a frequency range. That is the </w:t>
      </w:r>
      <w:r>
        <w:rPr>
          <w:rFonts w:hint="default" w:eastAsia="宋体"/>
          <w:lang w:val="en-US" w:eastAsia="zh-CN"/>
        </w:rPr>
        <w:t>‘</w:t>
      </w:r>
      <w:r>
        <w:rPr>
          <w:rFonts w:hint="eastAsia" w:eastAsia="宋体"/>
          <w:lang w:val="en-US" w:eastAsia="zh-CN"/>
        </w:rPr>
        <w:t>frequency layer</w:t>
      </w:r>
      <w:r>
        <w:rPr>
          <w:rFonts w:hint="default" w:eastAsia="宋体"/>
          <w:lang w:val="en-US" w:eastAsia="zh-CN"/>
        </w:rPr>
        <w:t>’</w:t>
      </w:r>
      <w:r>
        <w:rPr>
          <w:rFonts w:hint="eastAsia" w:eastAsia="宋体"/>
          <w:lang w:val="en-US" w:eastAsia="zh-CN"/>
        </w:rPr>
        <w:t xml:space="preserve"> is a frequency carrier or frequency range in our understanding. The related agreement was reached in RAN1 #91 as blow. </w:t>
      </w:r>
    </w:p>
    <w:p>
      <w:pPr>
        <w:snapToGrid w:val="0"/>
        <w:spacing w:after="120"/>
        <w:rPr>
          <w:rFonts w:hint="default" w:eastAsia="宋体"/>
          <w:lang w:val="en-US" w:eastAsia="zh-CN"/>
        </w:rPr>
      </w:pPr>
      <w:r>
        <w:rPr>
          <w:rFonts w:hint="eastAsia" w:eastAsia="宋体"/>
          <w:lang w:val="en-US" w:eastAsia="zh-CN"/>
        </w:rPr>
        <w:t xml:space="preserve">In our understanding, the </w:t>
      </w:r>
      <w:r>
        <w:rPr>
          <w:rFonts w:hint="default" w:eastAsia="宋体"/>
          <w:lang w:val="en-US" w:eastAsia="zh-CN"/>
        </w:rPr>
        <w:t>‘</w:t>
      </w:r>
      <w:r>
        <w:rPr>
          <w:rFonts w:hint="eastAsia" w:eastAsia="宋体"/>
          <w:lang w:val="en-US" w:eastAsia="zh-CN"/>
        </w:rPr>
        <w:t>frequency layer</w:t>
      </w:r>
      <w:r>
        <w:rPr>
          <w:rFonts w:hint="default" w:eastAsia="宋体"/>
          <w:lang w:val="en-US" w:eastAsia="zh-CN"/>
        </w:rPr>
        <w:t>’</w:t>
      </w:r>
      <w:r>
        <w:rPr>
          <w:rFonts w:hint="eastAsia" w:eastAsia="宋体"/>
          <w:lang w:val="en-US" w:eastAsia="zh-CN"/>
        </w:rPr>
        <w:t xml:space="preserve"> can be matched to measurement object(MO) in RAN2. Because all the CSI-RS resources configured in one MO has the same frequency carrier reference, i.e. </w:t>
      </w:r>
      <w:r>
        <w:rPr>
          <w:rFonts w:hint="eastAsia" w:eastAsia="宋体"/>
          <w:i/>
          <w:iCs/>
          <w:lang w:val="en-US" w:eastAsia="zh-CN"/>
        </w:rPr>
        <w:t xml:space="preserve">pointA, </w:t>
      </w:r>
      <w:r>
        <w:rPr>
          <w:rFonts w:hint="eastAsia" w:eastAsia="宋体"/>
          <w:i w:val="0"/>
          <w:iCs w:val="0"/>
          <w:lang w:val="en-US" w:eastAsia="zh-CN"/>
        </w:rPr>
        <w:t>a</w:t>
      </w:r>
      <w:r>
        <w:rPr>
          <w:rFonts w:hint="eastAsia" w:eastAsia="宋体"/>
          <w:lang w:val="en-US" w:eastAsia="zh-CN"/>
        </w:rPr>
        <w:t xml:space="preserve">nd the timing reference i.e. SSB for CSI-RS resources in one MO is on the same frequency range. Then, the </w:t>
      </w:r>
      <w:r>
        <w:rPr>
          <w:rFonts w:hint="default" w:eastAsia="宋体"/>
          <w:lang w:val="en-US" w:eastAsia="zh-CN"/>
        </w:rPr>
        <w:t>‘</w:t>
      </w:r>
      <w:r>
        <w:rPr>
          <w:rFonts w:hint="eastAsia" w:eastAsia="宋体"/>
          <w:lang w:val="en-US" w:eastAsia="zh-CN"/>
        </w:rPr>
        <w:t>frequency layer</w:t>
      </w:r>
      <w:r>
        <w:rPr>
          <w:rFonts w:hint="default" w:eastAsia="宋体"/>
          <w:lang w:val="en-US" w:eastAsia="zh-CN"/>
        </w:rPr>
        <w:t>’</w:t>
      </w:r>
      <w:r>
        <w:rPr>
          <w:rFonts w:hint="eastAsia" w:eastAsia="宋体"/>
          <w:lang w:val="en-US" w:eastAsia="zh-CN"/>
        </w:rPr>
        <w:t xml:space="preserve"> would a frequency range across all the CSI-RS resources in one MO.  </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0" w:rightChars="0"/>
              <w:jc w:val="both"/>
              <w:textAlignment w:val="baseline"/>
              <w:outlineLvl w:val="9"/>
              <w:rPr>
                <w:rFonts w:hint="default" w:ascii="Times New Roman" w:hAnsi="Times New Roman" w:cs="Times New Roman"/>
                <w:strike w:val="0"/>
                <w:dstrike w:val="0"/>
                <w:sz w:val="20"/>
                <w:szCs w:val="20"/>
              </w:rPr>
            </w:pPr>
            <w:r>
              <w:rPr>
                <w:rFonts w:hint="default" w:ascii="Times New Roman" w:hAnsi="Times New Roman" w:cs="Times New Roman"/>
                <w:strike w:val="0"/>
                <w:dstrike w:val="0"/>
                <w:sz w:val="20"/>
                <w:szCs w:val="20"/>
                <w:highlight w:val="green"/>
              </w:rPr>
              <w:t>Agreements</w:t>
            </w:r>
            <w:r>
              <w:rPr>
                <w:rFonts w:hint="default" w:ascii="Times New Roman" w:hAnsi="Times New Roman" w:cs="Times New Roman"/>
                <w:strike w:val="0"/>
                <w:dstrike w:val="0"/>
                <w:sz w:val="20"/>
                <w:szCs w:val="20"/>
              </w:rPr>
              <w:t>:</w:t>
            </w:r>
          </w:p>
          <w:p>
            <w:pPr>
              <w:pStyle w:val="82"/>
              <w:keepNext w:val="0"/>
              <w:keepLines w:val="0"/>
              <w:pageBreakBefore w:val="0"/>
              <w:widowControl/>
              <w:numPr>
                <w:ilvl w:val="0"/>
                <w:numId w:val="2"/>
              </w:numPr>
              <w:kinsoku/>
              <w:wordWrap/>
              <w:overflowPunct/>
              <w:topLinePunct w:val="0"/>
              <w:autoSpaceDE/>
              <w:autoSpaceDN/>
              <w:bidi w:val="0"/>
              <w:adjustRightInd/>
              <w:snapToGrid w:val="0"/>
              <w:spacing w:after="120" w:line="240" w:lineRule="auto"/>
              <w:ind w:right="0" w:rightChars="0" w:firstLine="420"/>
              <w:jc w:val="both"/>
              <w:textAlignment w:val="auto"/>
              <w:outlineLvl w:val="9"/>
              <w:rPr>
                <w:rFonts w:hint="default" w:ascii="Times New Roman" w:hAnsi="Times New Roman" w:cs="Times New Roman"/>
                <w:strike w:val="0"/>
                <w:dstrike w:val="0"/>
                <w:sz w:val="20"/>
                <w:szCs w:val="20"/>
              </w:rPr>
            </w:pPr>
            <w:r>
              <w:rPr>
                <w:rFonts w:hint="default" w:ascii="Times New Roman" w:hAnsi="Times New Roman" w:cs="Times New Roman"/>
                <w:strike w:val="0"/>
                <w:dstrike w:val="0"/>
                <w:sz w:val="20"/>
                <w:szCs w:val="20"/>
              </w:rPr>
              <w:t xml:space="preserve">For each CSI-RS resource, at most one associated SSB can be configured </w:t>
            </w:r>
          </w:p>
          <w:p>
            <w:pPr>
              <w:pStyle w:val="82"/>
              <w:keepNext w:val="0"/>
              <w:keepLines w:val="0"/>
              <w:pageBreakBefore w:val="0"/>
              <w:widowControl/>
              <w:numPr>
                <w:ilvl w:val="0"/>
                <w:numId w:val="2"/>
              </w:numPr>
              <w:kinsoku/>
              <w:wordWrap/>
              <w:overflowPunct/>
              <w:topLinePunct w:val="0"/>
              <w:autoSpaceDE/>
              <w:autoSpaceDN/>
              <w:bidi w:val="0"/>
              <w:adjustRightInd/>
              <w:snapToGrid w:val="0"/>
              <w:spacing w:after="120" w:line="240" w:lineRule="auto"/>
              <w:ind w:right="0" w:rightChars="0" w:firstLine="420"/>
              <w:jc w:val="both"/>
              <w:textAlignment w:val="auto"/>
              <w:outlineLvl w:val="9"/>
              <w:rPr>
                <w:rFonts w:hint="default" w:ascii="Times New Roman" w:hAnsi="Times New Roman" w:cs="Times New Roman"/>
                <w:strike w:val="0"/>
                <w:dstrike w:val="0"/>
                <w:sz w:val="20"/>
                <w:szCs w:val="20"/>
              </w:rPr>
            </w:pPr>
            <w:r>
              <w:rPr>
                <w:rFonts w:hint="default" w:ascii="Times New Roman" w:hAnsi="Times New Roman" w:cs="Times New Roman"/>
                <w:strike w:val="0"/>
                <w:dstrike w:val="0"/>
                <w:sz w:val="20"/>
                <w:szCs w:val="20"/>
              </w:rPr>
              <w:t>If associated SSBs are configured for CSI-RS, maximum N1=96 number of CSI-RS resources can be configured</w:t>
            </w:r>
            <w:r>
              <w:rPr>
                <w:rFonts w:hint="eastAsia" w:ascii="Times New Roman" w:hAnsi="Times New Roman" w:cs="Times New Roman"/>
                <w:strike w:val="0"/>
                <w:dstrike w:val="0"/>
                <w:sz w:val="20"/>
                <w:szCs w:val="20"/>
                <w:lang w:val="en-US" w:eastAsia="zh-CN"/>
              </w:rPr>
              <w:t xml:space="preserve"> </w:t>
            </w:r>
            <w:r>
              <w:rPr>
                <w:rFonts w:hint="default" w:ascii="Times New Roman" w:hAnsi="Times New Roman" w:cs="Times New Roman"/>
                <w:strike w:val="0"/>
                <w:dstrike w:val="0"/>
                <w:sz w:val="20"/>
                <w:szCs w:val="20"/>
              </w:rPr>
              <w:t>per frequency layer</w:t>
            </w:r>
          </w:p>
          <w:p>
            <w:pPr>
              <w:pStyle w:val="82"/>
              <w:keepNext w:val="0"/>
              <w:keepLines w:val="0"/>
              <w:pageBreakBefore w:val="0"/>
              <w:widowControl/>
              <w:numPr>
                <w:ilvl w:val="1"/>
                <w:numId w:val="2"/>
              </w:numPr>
              <w:kinsoku/>
              <w:wordWrap/>
              <w:overflowPunct/>
              <w:topLinePunct w:val="0"/>
              <w:autoSpaceDE/>
              <w:autoSpaceDN/>
              <w:bidi w:val="0"/>
              <w:adjustRightInd/>
              <w:snapToGrid w:val="0"/>
              <w:spacing w:after="120" w:line="240" w:lineRule="auto"/>
              <w:ind w:right="0" w:rightChars="0" w:firstLine="420"/>
              <w:jc w:val="both"/>
              <w:textAlignment w:val="auto"/>
              <w:outlineLvl w:val="9"/>
              <w:rPr>
                <w:rFonts w:hint="default" w:ascii="Times New Roman" w:hAnsi="Times New Roman" w:cs="Times New Roman"/>
                <w:strike w:val="0"/>
                <w:dstrike w:val="0"/>
                <w:sz w:val="20"/>
                <w:szCs w:val="20"/>
              </w:rPr>
            </w:pPr>
            <w:r>
              <w:rPr>
                <w:rFonts w:hint="default" w:ascii="Times New Roman" w:hAnsi="Times New Roman" w:cs="Times New Roman"/>
                <w:strike w:val="0"/>
                <w:dstrike w:val="0"/>
                <w:sz w:val="20"/>
                <w:szCs w:val="20"/>
              </w:rPr>
              <w:t>M&gt;=1 number of CSI-RS resources per associated SSB can be configured</w:t>
            </w:r>
          </w:p>
          <w:p>
            <w:pPr>
              <w:pStyle w:val="82"/>
              <w:keepNext w:val="0"/>
              <w:keepLines w:val="0"/>
              <w:pageBreakBefore w:val="0"/>
              <w:widowControl/>
              <w:numPr>
                <w:ilvl w:val="0"/>
                <w:numId w:val="2"/>
              </w:numPr>
              <w:kinsoku/>
              <w:wordWrap/>
              <w:overflowPunct/>
              <w:topLinePunct w:val="0"/>
              <w:autoSpaceDE/>
              <w:autoSpaceDN/>
              <w:bidi w:val="0"/>
              <w:adjustRightInd/>
              <w:snapToGrid w:val="0"/>
              <w:spacing w:after="120" w:line="240" w:lineRule="auto"/>
              <w:ind w:right="0" w:rightChars="0" w:firstLine="420"/>
              <w:jc w:val="both"/>
              <w:textAlignment w:val="auto"/>
              <w:outlineLvl w:val="9"/>
              <w:rPr>
                <w:rFonts w:hint="default" w:ascii="Times New Roman" w:hAnsi="Times New Roman" w:cs="Times New Roman"/>
                <w:strike w:val="0"/>
                <w:dstrike w:val="0"/>
                <w:sz w:val="20"/>
                <w:szCs w:val="20"/>
              </w:rPr>
            </w:pPr>
            <w:r>
              <w:rPr>
                <w:rFonts w:hint="default" w:ascii="Times New Roman" w:hAnsi="Times New Roman" w:cs="Times New Roman"/>
                <w:strike w:val="0"/>
                <w:dstrike w:val="0"/>
                <w:sz w:val="20"/>
                <w:szCs w:val="20"/>
              </w:rPr>
              <w:t>If associated SSBs are not configured for CSI-RS, maximum N2&gt;=1 number of CSI-RS resources can be configured per frequency layer</w:t>
            </w:r>
          </w:p>
          <w:p>
            <w:pPr>
              <w:pStyle w:val="82"/>
              <w:keepNext w:val="0"/>
              <w:keepLines w:val="0"/>
              <w:pageBreakBefore w:val="0"/>
              <w:widowControl/>
              <w:numPr>
                <w:ilvl w:val="1"/>
                <w:numId w:val="2"/>
              </w:numPr>
              <w:kinsoku/>
              <w:wordWrap/>
              <w:overflowPunct/>
              <w:topLinePunct w:val="0"/>
              <w:autoSpaceDE/>
              <w:autoSpaceDN/>
              <w:bidi w:val="0"/>
              <w:adjustRightInd/>
              <w:snapToGrid w:val="0"/>
              <w:spacing w:after="120" w:line="240" w:lineRule="auto"/>
              <w:ind w:right="0" w:rightChars="0" w:firstLine="420"/>
              <w:jc w:val="both"/>
              <w:textAlignment w:val="auto"/>
              <w:outlineLvl w:val="9"/>
              <w:rPr>
                <w:rFonts w:hint="default" w:ascii="Times New Roman" w:hAnsi="Times New Roman" w:cs="Times New Roman"/>
                <w:strike w:val="0"/>
                <w:dstrike w:val="0"/>
                <w:sz w:val="20"/>
                <w:szCs w:val="20"/>
              </w:rPr>
            </w:pPr>
            <w:r>
              <w:rPr>
                <w:rFonts w:hint="default" w:ascii="Times New Roman" w:hAnsi="Times New Roman" w:cs="Times New Roman"/>
                <w:strike w:val="0"/>
                <w:dstrike w:val="0"/>
                <w:sz w:val="20"/>
                <w:szCs w:val="20"/>
              </w:rPr>
              <w:t>In this case, UE may assume that the carrier is synchronized with the serving cell.</w:t>
            </w:r>
            <w:r>
              <w:rPr>
                <w:rFonts w:hint="default" w:ascii="Times New Roman" w:hAnsi="Times New Roman" w:cs="Times New Roman"/>
                <w:strike w:val="0"/>
                <w:dstrike w:val="0"/>
                <w:sz w:val="20"/>
                <w:szCs w:val="20"/>
                <w:lang w:val="en-US" w:eastAsia="zh-CN"/>
              </w:rPr>
              <w:t xml:space="preserve"> </w:t>
            </w:r>
          </w:p>
          <w:p>
            <w:pPr>
              <w:pStyle w:val="82"/>
              <w:keepNext w:val="0"/>
              <w:keepLines w:val="0"/>
              <w:pageBreakBefore w:val="0"/>
              <w:widowControl/>
              <w:numPr>
                <w:ilvl w:val="1"/>
                <w:numId w:val="2"/>
              </w:numPr>
              <w:kinsoku/>
              <w:wordWrap/>
              <w:overflowPunct/>
              <w:topLinePunct w:val="0"/>
              <w:autoSpaceDE/>
              <w:autoSpaceDN/>
              <w:bidi w:val="0"/>
              <w:adjustRightInd/>
              <w:snapToGrid w:val="0"/>
              <w:spacing w:after="120" w:line="240" w:lineRule="auto"/>
              <w:ind w:right="0" w:rightChars="0" w:firstLine="420"/>
              <w:jc w:val="both"/>
              <w:textAlignment w:val="auto"/>
              <w:outlineLvl w:val="9"/>
              <w:rPr>
                <w:rFonts w:hint="eastAsia" w:eastAsia="宋体"/>
                <w:vertAlign w:val="baseline"/>
                <w:lang w:val="en-US" w:eastAsia="zh-CN"/>
              </w:rPr>
            </w:pPr>
            <w:r>
              <w:rPr>
                <w:rFonts w:hint="default" w:ascii="Times New Roman" w:hAnsi="Times New Roman" w:cs="Times New Roman"/>
                <w:strike w:val="0"/>
                <w:dstrike w:val="0"/>
                <w:sz w:val="20"/>
                <w:szCs w:val="20"/>
              </w:rPr>
              <w:t>FFS UE is not required to perform measurement based on CSI-RS if the corresponding cell ID is not detected</w:t>
            </w:r>
          </w:p>
        </w:tc>
      </w:tr>
    </w:tbl>
    <w:p>
      <w:pPr>
        <w:snapToGrid w:val="0"/>
        <w:spacing w:after="120"/>
        <w:rPr>
          <w:rFonts w:hint="eastAsia" w:eastAsia="宋体"/>
          <w:lang w:val="en-US" w:eastAsia="zh-CN"/>
        </w:rPr>
      </w:pPr>
    </w:p>
    <w:p>
      <w:pPr>
        <w:snapToGrid w:val="0"/>
        <w:spacing w:after="120"/>
        <w:rPr>
          <w:rFonts w:hint="eastAsia" w:eastAsia="宋体"/>
          <w:i/>
          <w:iCs/>
          <w:lang w:val="en-US" w:eastAsia="zh-CN"/>
        </w:rPr>
      </w:pPr>
      <w:r>
        <w:rPr>
          <w:rFonts w:hint="eastAsia" w:eastAsia="宋体"/>
          <w:b/>
          <w:bCs/>
          <w:i/>
          <w:iCs/>
          <w:lang w:val="en-US" w:eastAsia="zh-CN"/>
        </w:rPr>
        <w:t xml:space="preserve">Observation 1: </w:t>
      </w:r>
      <w:r>
        <w:rPr>
          <w:rFonts w:hint="eastAsia" w:eastAsia="宋体"/>
          <w:i/>
          <w:iCs/>
          <w:lang w:val="en-US" w:eastAsia="zh-CN"/>
        </w:rPr>
        <w:t xml:space="preserve">In RAN1 understanding, </w:t>
      </w:r>
      <w:r>
        <w:rPr>
          <w:rFonts w:eastAsia="宋体"/>
          <w:i/>
          <w:iCs/>
          <w:lang w:val="en-US" w:eastAsia="zh-CN"/>
        </w:rPr>
        <w:t>‘</w:t>
      </w:r>
      <w:r>
        <w:rPr>
          <w:rFonts w:hint="eastAsia" w:eastAsia="宋体"/>
          <w:i/>
          <w:iCs/>
          <w:lang w:val="en-US" w:eastAsia="zh-CN"/>
        </w:rPr>
        <w:t>frequency layer</w:t>
      </w:r>
      <w:r>
        <w:rPr>
          <w:rFonts w:eastAsia="宋体"/>
          <w:i/>
          <w:iCs/>
          <w:lang w:val="en-US" w:eastAsia="zh-CN"/>
        </w:rPr>
        <w:t>’</w:t>
      </w:r>
      <w:r>
        <w:rPr>
          <w:rFonts w:hint="eastAsia" w:eastAsia="宋体"/>
          <w:i/>
          <w:iCs/>
          <w:lang w:val="en-US" w:eastAsia="zh-CN"/>
        </w:rPr>
        <w:t xml:space="preserve"> in RAN1 is the same as measurement object in RAN2. </w:t>
      </w:r>
    </w:p>
    <w:p>
      <w:pPr>
        <w:snapToGrid w:val="0"/>
        <w:spacing w:after="120"/>
        <w:rPr>
          <w:rFonts w:hint="eastAsia" w:eastAsia="宋体"/>
          <w:sz w:val="20"/>
          <w:szCs w:val="21"/>
          <w:lang w:val="en-US" w:eastAsia="zh-CN"/>
        </w:rPr>
      </w:pPr>
      <w:r>
        <w:rPr>
          <w:rFonts w:hint="eastAsia" w:eastAsia="宋体"/>
          <w:sz w:val="20"/>
          <w:szCs w:val="21"/>
          <w:lang w:val="en-US" w:eastAsia="zh-CN"/>
        </w:rPr>
        <w:t xml:space="preserve">In our views above agreement is not very accurate. Because the values defined above are originally to limit UE </w:t>
      </w:r>
      <w:r>
        <w:rPr>
          <w:rFonts w:hint="eastAsia" w:eastAsia="宋体"/>
          <w:lang w:val="en-US" w:eastAsia="zh-CN"/>
        </w:rPr>
        <w:t>complexity</w:t>
      </w:r>
      <w:r>
        <w:rPr>
          <w:rFonts w:hint="eastAsia" w:eastAsia="宋体"/>
          <w:sz w:val="20"/>
          <w:szCs w:val="21"/>
          <w:lang w:val="en-US" w:eastAsia="zh-CN"/>
        </w:rPr>
        <w:t xml:space="preserve">, i.e., the maximum number CSI-RS resources a UE can simultaneously measure. So, it should be the </w:t>
      </w:r>
      <w:r>
        <w:rPr>
          <w:rFonts w:hint="default" w:ascii="Times New Roman" w:hAnsi="Times New Roman" w:cs="Times New Roman"/>
          <w:strike w:val="0"/>
          <w:dstrike w:val="0"/>
          <w:sz w:val="20"/>
          <w:szCs w:val="20"/>
        </w:rPr>
        <w:t xml:space="preserve">maximum number of CSI-RS resources can be </w:t>
      </w:r>
      <w:r>
        <w:rPr>
          <w:rFonts w:hint="eastAsia" w:eastAsia="宋体" w:cs="Times New Roman"/>
          <w:strike w:val="0"/>
          <w:dstrike w:val="0"/>
          <w:sz w:val="20"/>
          <w:szCs w:val="20"/>
          <w:lang w:val="en-US" w:eastAsia="zh-CN"/>
        </w:rPr>
        <w:t xml:space="preserve">supported </w:t>
      </w:r>
      <w:r>
        <w:rPr>
          <w:rFonts w:hint="default" w:ascii="Times New Roman" w:hAnsi="Times New Roman" w:cs="Times New Roman"/>
          <w:strike w:val="0"/>
          <w:dstrike w:val="0"/>
          <w:sz w:val="20"/>
          <w:szCs w:val="20"/>
        </w:rPr>
        <w:t>per frequency layer</w:t>
      </w:r>
      <w:r>
        <w:rPr>
          <w:rFonts w:hint="eastAsia" w:eastAsia="宋体" w:cs="Times New Roman"/>
          <w:strike w:val="0"/>
          <w:dstrike w:val="0"/>
          <w:sz w:val="20"/>
          <w:szCs w:val="20"/>
          <w:lang w:val="en-US" w:eastAsia="zh-CN"/>
        </w:rPr>
        <w:t xml:space="preserve"> by UE, not the maximum number can be configured per frequency layer by gNB. </w:t>
      </w:r>
      <w:r>
        <w:rPr>
          <w:rFonts w:hint="eastAsia" w:eastAsia="宋体"/>
          <w:sz w:val="20"/>
          <w:szCs w:val="21"/>
          <w:lang w:val="en-US" w:eastAsia="zh-CN"/>
        </w:rPr>
        <w:t xml:space="preserve">That means the signalling structure defined in RAN2 can remain unchanged, i.e., allowing that up to 96 cells can be indicated in one CSI-RS measurement object, and each cell can be associated with up to 96 CSI-RS resources (i.e. a total of 9216 CSI-RS resources per MO). </w:t>
      </w:r>
    </w:p>
    <w:p>
      <w:pPr>
        <w:snapToGrid w:val="0"/>
        <w:spacing w:after="120"/>
        <w:rPr>
          <w:rFonts w:hint="eastAsia" w:eastAsia="宋体"/>
          <w:sz w:val="20"/>
          <w:szCs w:val="21"/>
          <w:lang w:val="en-US" w:eastAsia="zh-CN"/>
        </w:rPr>
      </w:pPr>
      <w:r>
        <w:rPr>
          <w:rFonts w:hint="eastAsia" w:eastAsia="宋体"/>
          <w:b/>
          <w:bCs/>
          <w:i/>
          <w:iCs/>
          <w:lang w:val="en-US" w:eastAsia="zh-CN"/>
        </w:rPr>
        <w:t xml:space="preserve">Observation 2: </w:t>
      </w:r>
      <w:r>
        <w:rPr>
          <w:rFonts w:hint="eastAsia" w:eastAsia="宋体"/>
          <w:i/>
          <w:iCs/>
          <w:sz w:val="20"/>
          <w:szCs w:val="21"/>
          <w:lang w:val="en-US" w:eastAsia="zh-CN"/>
        </w:rPr>
        <w:t xml:space="preserve">The signalling structure defined in RAN2 can remain unchanged, i.e., allowing that up to 96 cells can be indicated in one CSI-RS measurement object, and each cell can be associated with up to 96 CSI-RS resources (i.e. a total of 9216 CSI-RS resources per MO). </w:t>
      </w:r>
    </w:p>
    <w:p>
      <w:pPr>
        <w:snapToGrid w:val="0"/>
        <w:spacing w:after="120"/>
        <w:rPr>
          <w:rFonts w:hint="eastAsia" w:eastAsia="宋体"/>
          <w:lang w:val="en-US" w:eastAsia="zh-CN"/>
        </w:rPr>
      </w:pPr>
      <w:r>
        <w:rPr>
          <w:rFonts w:hint="eastAsia" w:eastAsia="宋体"/>
          <w:lang w:val="en-US" w:eastAsia="zh-CN"/>
        </w:rPr>
        <w:t>However, the match is not very perfect since there is no more restriction on the configuration of CSI-RS in one MO, especially frequency related configuration, which will affect UE measurement behavior. Therefore, more restrictions taking RAN1 agreement and current RRC signaling framework into account should be specified in RAN4 to make UE measurement on CSI-RS resources in one MO more clear.</w:t>
      </w:r>
    </w:p>
    <w:p>
      <w:pPr>
        <w:snapToGrid w:val="0"/>
        <w:spacing w:after="120"/>
        <w:rPr>
          <w:rFonts w:hint="default" w:eastAsia="宋体"/>
          <w:sz w:val="20"/>
          <w:szCs w:val="20"/>
          <w:lang w:val="en-US" w:eastAsia="zh-CN"/>
        </w:rPr>
      </w:pPr>
      <w:r>
        <w:rPr>
          <w:rFonts w:hint="eastAsia" w:eastAsia="宋体"/>
          <w:sz w:val="20"/>
          <w:szCs w:val="21"/>
          <w:lang w:val="en-US" w:eastAsia="zh-CN"/>
        </w:rPr>
        <w:t xml:space="preserve">According to RAN4 agreement[2], a measurement is defined as a CSI-RS based intra-frequency measurement provided that </w:t>
      </w:r>
      <w:r>
        <w:rPr>
          <w:rFonts w:hint="default" w:eastAsia="宋体"/>
          <w:sz w:val="20"/>
          <w:szCs w:val="21"/>
          <w:lang w:val="en-US" w:eastAsia="zh-CN"/>
        </w:rPr>
        <w:t>the bandwidth of the CSI-RS resource configured for measurement on the neighbour cell is within the bandwidth of the CSI-RS resource configured for measurement on the serving cell, and the subcarrier spacing of serving cell and neighbour cell CSI-RS are the same.</w:t>
      </w:r>
      <w:r>
        <w:rPr>
          <w:rFonts w:hint="eastAsia" w:eastAsia="宋体"/>
          <w:sz w:val="20"/>
          <w:szCs w:val="21"/>
          <w:lang w:val="en-US" w:eastAsia="zh-CN"/>
        </w:rPr>
        <w:t xml:space="preserve"> </w:t>
      </w:r>
      <w:r>
        <w:rPr>
          <w:rFonts w:hint="default" w:eastAsia="宋体"/>
          <w:sz w:val="20"/>
          <w:szCs w:val="21"/>
          <w:lang w:val="en-US" w:eastAsia="zh-CN"/>
        </w:rPr>
        <w:t>A measurement is defined as a CSI-RS based inter-frequency measurement provided</w:t>
      </w:r>
      <w:r>
        <w:rPr>
          <w:rFonts w:hint="eastAsia" w:eastAsia="宋体"/>
          <w:sz w:val="20"/>
          <w:szCs w:val="21"/>
          <w:lang w:val="en-US" w:eastAsia="zh-CN"/>
        </w:rPr>
        <w:t xml:space="preserve"> that </w:t>
      </w:r>
      <w:r>
        <w:rPr>
          <w:rFonts w:hint="default" w:eastAsia="宋体"/>
          <w:sz w:val="20"/>
          <w:szCs w:val="21"/>
          <w:lang w:val="en-US" w:eastAsia="zh-CN"/>
        </w:rPr>
        <w:t>the bandwidth of the CSI-RS resource configured for measurement on the neighbour cell is not within the bandwidth of the CSI-RS resource configured for measurement on the serving cell, or the subcarrier spacing of serving cell and neighbour cell CSI-RS are different.</w:t>
      </w:r>
      <w:r>
        <w:rPr>
          <w:rFonts w:hint="eastAsia" w:eastAsia="宋体"/>
          <w:sz w:val="20"/>
          <w:szCs w:val="21"/>
          <w:lang w:val="en-US" w:eastAsia="zh-CN"/>
        </w:rPr>
        <w:t xml:space="preserve"> </w:t>
      </w:r>
      <w:r>
        <w:rPr>
          <w:rFonts w:hint="eastAsia" w:eastAsia="宋体"/>
          <w:sz w:val="20"/>
          <w:szCs w:val="20"/>
          <w:lang w:val="en-US" w:eastAsia="zh-CN"/>
        </w:rPr>
        <w:t xml:space="preserve">However, how to associate the CSI-RS intra-frequency and inter-frequency measurement with RAN2 MO framework needs further specification by RAN4. For instance, all the CSI-RS resources in one MO should be in intra-frequency measurement, and CSI-RS resources in different MO should be in inter-frequency measurement. </w:t>
      </w:r>
    </w:p>
    <w:p>
      <w:pPr>
        <w:snapToGrid w:val="0"/>
        <w:spacing w:after="120"/>
        <w:jc w:val="center"/>
      </w:pPr>
      <w:r>
        <w:object>
          <v:shape id="_x0000_i1025" o:spt="75" type="#_x0000_t75" style="height:288.75pt;width:376.5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snapToGrid w:val="0"/>
        <w:spacing w:after="120"/>
        <w:jc w:val="center"/>
        <w:rPr>
          <w:rFonts w:eastAsia="宋体"/>
          <w:b/>
          <w:bCs/>
          <w:sz w:val="21"/>
          <w:szCs w:val="22"/>
          <w:lang w:val="en-US" w:eastAsia="zh-CN"/>
        </w:rPr>
      </w:pPr>
      <w:r>
        <w:rPr>
          <w:rFonts w:hint="eastAsia" w:eastAsia="宋体"/>
          <w:b/>
          <w:bCs/>
          <w:sz w:val="21"/>
          <w:szCs w:val="22"/>
          <w:lang w:val="en-US" w:eastAsia="zh-CN"/>
        </w:rPr>
        <w:t>Figure 1.  Signalling structure of  CSI-RS resource configuration</w:t>
      </w:r>
    </w:p>
    <w:p>
      <w:pPr>
        <w:snapToGrid w:val="0"/>
        <w:spacing w:after="120"/>
        <w:rPr>
          <w:rFonts w:eastAsia="宋体"/>
          <w:i/>
          <w:iCs/>
          <w:szCs w:val="21"/>
          <w:lang w:val="en-US" w:eastAsia="zh-CN"/>
        </w:rPr>
      </w:pPr>
      <w:r>
        <w:rPr>
          <w:rFonts w:hint="eastAsia" w:eastAsia="宋体"/>
          <w:b/>
          <w:bCs/>
          <w:i/>
          <w:iCs/>
          <w:lang w:val="en-US" w:eastAsia="zh-CN"/>
        </w:rPr>
        <w:t xml:space="preserve">Observation 3: </w:t>
      </w:r>
      <w:r>
        <w:rPr>
          <w:rFonts w:hint="eastAsia" w:eastAsia="宋体"/>
          <w:i/>
          <w:iCs/>
          <w:szCs w:val="21"/>
          <w:lang w:val="en-US" w:eastAsia="zh-CN"/>
        </w:rPr>
        <w:t xml:space="preserve">Additional restrictions should be specified by RAN4 for CSI-RS </w:t>
      </w:r>
      <w:r>
        <w:rPr>
          <w:rFonts w:eastAsia="宋体"/>
          <w:i/>
          <w:iCs/>
          <w:sz w:val="21"/>
          <w:szCs w:val="22"/>
          <w:lang w:val="en-US" w:eastAsia="zh-CN"/>
        </w:rPr>
        <w:t>resources</w:t>
      </w:r>
      <w:r>
        <w:rPr>
          <w:rFonts w:hint="eastAsia" w:eastAsia="宋体"/>
          <w:i/>
          <w:iCs/>
          <w:sz w:val="21"/>
          <w:szCs w:val="22"/>
          <w:lang w:val="en-US" w:eastAsia="zh-CN"/>
        </w:rPr>
        <w:t xml:space="preserve"> for intra-frequency and inter-frequency measurement considering RAN2 MO framework</w:t>
      </w:r>
      <w:r>
        <w:rPr>
          <w:rFonts w:hint="eastAsia" w:eastAsia="宋体"/>
          <w:i/>
          <w:iCs/>
          <w:szCs w:val="21"/>
          <w:lang w:val="en-US" w:eastAsia="zh-CN"/>
        </w:rPr>
        <w:t>.</w:t>
      </w:r>
    </w:p>
    <w:p>
      <w:pPr>
        <w:pStyle w:val="13"/>
        <w:tabs>
          <w:tab w:val="left" w:pos="426"/>
          <w:tab w:val="left" w:pos="4678"/>
          <w:tab w:val="left" w:pos="5954"/>
          <w:tab w:val="left" w:pos="7088"/>
        </w:tabs>
        <w:overflowPunct/>
        <w:snapToGrid w:val="0"/>
        <w:textAlignment w:val="auto"/>
        <w:rPr>
          <w:rFonts w:eastAsia="宋体"/>
          <w:szCs w:val="21"/>
          <w:lang w:val="en-US" w:eastAsia="zh-CN"/>
        </w:rPr>
      </w:pPr>
      <w:r>
        <w:rPr>
          <w:rFonts w:hint="eastAsia" w:eastAsia="宋体"/>
          <w:szCs w:val="21"/>
          <w:lang w:val="en-US" w:eastAsia="zh-CN"/>
        </w:rPr>
        <w:t xml:space="preserve">If RAN4 defines new restrictions, this may change the answers to questions raised in RAN2 LS. Take question 2 as an example, i.e. </w:t>
      </w:r>
      <w:r>
        <w:rPr>
          <w:rFonts w:eastAsia="宋体"/>
          <w:szCs w:val="21"/>
          <w:lang w:val="en-US" w:eastAsia="zh-CN"/>
        </w:rPr>
        <w:t>“</w:t>
      </w:r>
      <w:r>
        <w:rPr>
          <w:rFonts w:eastAsia="宋体"/>
          <w:i/>
          <w:iCs/>
          <w:szCs w:val="21"/>
          <w:lang w:val="en-US" w:eastAsia="zh-CN"/>
        </w:rPr>
        <w:t>Whether the CSI-RS resources of serving cell, CSI-RS resources of cell1 and CSI-RS resources of cell2 configured in MO1 are part of the same ‘frequency layer’?</w:t>
      </w:r>
      <w:r>
        <w:rPr>
          <w:rFonts w:hint="eastAsia" w:eastAsia="宋体"/>
          <w:szCs w:val="21"/>
          <w:lang w:val="en-US" w:eastAsia="zh-CN"/>
        </w:rPr>
        <w:t xml:space="preserve"> </w:t>
      </w:r>
      <w:r>
        <w:rPr>
          <w:rFonts w:eastAsia="宋体"/>
          <w:szCs w:val="21"/>
          <w:lang w:val="en-US" w:eastAsia="zh-CN"/>
        </w:rPr>
        <w:t>”</w:t>
      </w:r>
      <w:r>
        <w:rPr>
          <w:rFonts w:hint="eastAsia" w:eastAsia="宋体"/>
          <w:szCs w:val="21"/>
          <w:lang w:val="en-US" w:eastAsia="zh-CN"/>
        </w:rPr>
        <w:t xml:space="preserve">. The answer would be </w:t>
      </w:r>
      <w:r>
        <w:rPr>
          <w:rFonts w:eastAsia="宋体"/>
          <w:szCs w:val="21"/>
          <w:lang w:val="en-US" w:eastAsia="zh-CN"/>
        </w:rPr>
        <w:t>“</w:t>
      </w:r>
      <w:r>
        <w:rPr>
          <w:rFonts w:hint="eastAsia" w:eastAsia="宋体"/>
          <w:szCs w:val="21"/>
          <w:lang w:val="en-US" w:eastAsia="zh-CN"/>
        </w:rPr>
        <w:t>YES</w:t>
      </w:r>
      <w:r>
        <w:rPr>
          <w:rFonts w:eastAsia="宋体"/>
          <w:szCs w:val="21"/>
          <w:lang w:val="en-US" w:eastAsia="zh-CN"/>
        </w:rPr>
        <w:t>”</w:t>
      </w:r>
      <w:r>
        <w:rPr>
          <w:rFonts w:hint="eastAsia" w:eastAsia="宋体"/>
          <w:szCs w:val="21"/>
          <w:lang w:val="en-US" w:eastAsia="zh-CN"/>
        </w:rPr>
        <w:t xml:space="preserve"> based on current RAN1 understanding, while it would be </w:t>
      </w:r>
      <w:r>
        <w:rPr>
          <w:rFonts w:eastAsia="宋体"/>
          <w:szCs w:val="21"/>
          <w:lang w:val="en-US" w:eastAsia="zh-CN"/>
        </w:rPr>
        <w:t>“</w:t>
      </w:r>
      <w:r>
        <w:rPr>
          <w:rFonts w:hint="eastAsia" w:eastAsia="宋体"/>
          <w:szCs w:val="21"/>
          <w:lang w:val="en-US" w:eastAsia="zh-CN"/>
        </w:rPr>
        <w:t>NO</w:t>
      </w:r>
      <w:r>
        <w:rPr>
          <w:rFonts w:eastAsia="宋体"/>
          <w:szCs w:val="21"/>
          <w:lang w:val="en-US" w:eastAsia="zh-CN"/>
        </w:rPr>
        <w:t>” and this configuration is invalid</w:t>
      </w:r>
      <w:r>
        <w:rPr>
          <w:rFonts w:hint="eastAsia" w:eastAsia="宋体"/>
          <w:szCs w:val="21"/>
          <w:lang w:val="en-US" w:eastAsia="zh-CN"/>
        </w:rPr>
        <w:t xml:space="preserve"> if all the CSI-RS resources in one MO should be in intra-frequency measurement if defined by RAN4. </w:t>
      </w:r>
    </w:p>
    <w:p>
      <w:pPr>
        <w:snapToGrid w:val="0"/>
        <w:spacing w:after="120"/>
        <w:rPr>
          <w:rFonts w:eastAsia="宋体"/>
          <w:i/>
          <w:iCs/>
          <w:szCs w:val="21"/>
          <w:lang w:val="en-US" w:eastAsia="zh-CN"/>
        </w:rPr>
      </w:pPr>
      <w:r>
        <w:rPr>
          <w:rFonts w:hint="eastAsia" w:eastAsia="宋体"/>
          <w:b/>
          <w:bCs/>
          <w:i/>
          <w:iCs/>
          <w:lang w:val="en-US" w:eastAsia="zh-CN"/>
        </w:rPr>
        <w:t xml:space="preserve">Observation 4: </w:t>
      </w:r>
      <w:r>
        <w:rPr>
          <w:rFonts w:hint="eastAsia" w:eastAsia="宋体"/>
          <w:i/>
          <w:iCs/>
          <w:lang w:val="en-US" w:eastAsia="zh-CN"/>
        </w:rPr>
        <w:t xml:space="preserve">The answers to </w:t>
      </w:r>
      <w:r>
        <w:rPr>
          <w:rFonts w:eastAsia="宋体"/>
          <w:i/>
          <w:iCs/>
          <w:lang w:val="en-US" w:eastAsia="zh-CN"/>
        </w:rPr>
        <w:t xml:space="preserve">the </w:t>
      </w:r>
      <w:r>
        <w:rPr>
          <w:rFonts w:hint="eastAsia" w:eastAsia="宋体"/>
          <w:i/>
          <w:iCs/>
          <w:szCs w:val="21"/>
          <w:lang w:val="en-US" w:eastAsia="zh-CN"/>
        </w:rPr>
        <w:t>questions raised in RAN2 LS may be changed after RAN4</w:t>
      </w:r>
      <w:r>
        <w:rPr>
          <w:rFonts w:eastAsia="宋体"/>
          <w:i/>
          <w:iCs/>
          <w:szCs w:val="21"/>
          <w:lang w:val="en-US" w:eastAsia="zh-CN"/>
        </w:rPr>
        <w:t>’</w:t>
      </w:r>
      <w:r>
        <w:rPr>
          <w:rFonts w:hint="eastAsia" w:eastAsia="宋体"/>
          <w:i/>
          <w:iCs/>
          <w:szCs w:val="21"/>
          <w:lang w:val="en-US" w:eastAsia="zh-CN"/>
        </w:rPr>
        <w:t xml:space="preserve">s further decision on </w:t>
      </w:r>
      <w:r>
        <w:rPr>
          <w:rFonts w:eastAsia="宋体"/>
          <w:i/>
          <w:iCs/>
          <w:szCs w:val="21"/>
          <w:lang w:val="en-US" w:eastAsia="zh-CN"/>
        </w:rPr>
        <w:t>introducing possible additional</w:t>
      </w:r>
      <w:r>
        <w:rPr>
          <w:rFonts w:hint="eastAsia" w:eastAsia="宋体"/>
          <w:i/>
          <w:iCs/>
          <w:szCs w:val="21"/>
          <w:lang w:val="en-US" w:eastAsia="zh-CN"/>
        </w:rPr>
        <w:t xml:space="preserve"> restrictions.</w:t>
      </w:r>
    </w:p>
    <w:p>
      <w:pPr>
        <w:pStyle w:val="2"/>
        <w:snapToGrid w:val="0"/>
        <w:spacing w:beforeLines="0" w:after="180" w:afterLines="50"/>
      </w:pPr>
      <w:r>
        <w:rPr>
          <w:rFonts w:hint="eastAsia"/>
        </w:rPr>
        <w:t>Conclusion</w:t>
      </w:r>
    </w:p>
    <w:p>
      <w:pPr>
        <w:snapToGrid w:val="0"/>
        <w:rPr>
          <w:rFonts w:eastAsia="宋体"/>
          <w:kern w:val="2"/>
          <w:lang w:val="en-US" w:eastAsia="zh-CN"/>
        </w:rPr>
      </w:pPr>
      <w:r>
        <w:rPr>
          <w:rFonts w:hint="eastAsia" w:eastAsia="宋体"/>
          <w:kern w:val="2"/>
          <w:lang w:val="en-US" w:eastAsia="zh-CN"/>
        </w:rPr>
        <w:t>According to the discussions above, we have the following observations:</w:t>
      </w:r>
    </w:p>
    <w:p>
      <w:pPr>
        <w:snapToGrid w:val="0"/>
        <w:spacing w:after="120"/>
        <w:rPr>
          <w:rFonts w:hint="eastAsia" w:eastAsia="宋体"/>
          <w:i/>
          <w:iCs/>
          <w:lang w:val="en-US" w:eastAsia="zh-CN"/>
        </w:rPr>
      </w:pPr>
      <w:bookmarkStart w:id="2" w:name="_GoBack"/>
      <w:bookmarkEnd w:id="2"/>
      <w:r>
        <w:rPr>
          <w:rFonts w:hint="eastAsia" w:eastAsia="宋体"/>
          <w:b/>
          <w:bCs/>
          <w:i/>
          <w:iCs/>
          <w:lang w:val="en-US" w:eastAsia="zh-CN"/>
        </w:rPr>
        <w:t xml:space="preserve">Observation 1: </w:t>
      </w:r>
      <w:r>
        <w:rPr>
          <w:rFonts w:hint="eastAsia" w:eastAsia="宋体"/>
          <w:i/>
          <w:iCs/>
          <w:lang w:val="en-US" w:eastAsia="zh-CN"/>
        </w:rPr>
        <w:t xml:space="preserve">In RAN1 understanding, </w:t>
      </w:r>
      <w:r>
        <w:rPr>
          <w:rFonts w:eastAsia="宋体"/>
          <w:i/>
          <w:iCs/>
          <w:lang w:val="en-US" w:eastAsia="zh-CN"/>
        </w:rPr>
        <w:t>‘</w:t>
      </w:r>
      <w:r>
        <w:rPr>
          <w:rFonts w:hint="eastAsia" w:eastAsia="宋体"/>
          <w:i/>
          <w:iCs/>
          <w:lang w:val="en-US" w:eastAsia="zh-CN"/>
        </w:rPr>
        <w:t>frequency layer</w:t>
      </w:r>
      <w:r>
        <w:rPr>
          <w:rFonts w:eastAsia="宋体"/>
          <w:i/>
          <w:iCs/>
          <w:lang w:val="en-US" w:eastAsia="zh-CN"/>
        </w:rPr>
        <w:t>’</w:t>
      </w:r>
      <w:r>
        <w:rPr>
          <w:rFonts w:hint="eastAsia" w:eastAsia="宋体"/>
          <w:i/>
          <w:iCs/>
          <w:lang w:val="en-US" w:eastAsia="zh-CN"/>
        </w:rPr>
        <w:t xml:space="preserve"> in RAN1 is the same as measurement object in RAN2. </w:t>
      </w:r>
    </w:p>
    <w:p>
      <w:pPr>
        <w:snapToGrid w:val="0"/>
        <w:spacing w:after="120"/>
        <w:rPr>
          <w:rFonts w:hint="eastAsia" w:eastAsia="宋体"/>
          <w:sz w:val="20"/>
          <w:szCs w:val="21"/>
          <w:lang w:val="en-US" w:eastAsia="zh-CN"/>
        </w:rPr>
      </w:pPr>
      <w:r>
        <w:rPr>
          <w:rFonts w:hint="eastAsia" w:eastAsia="宋体"/>
          <w:b/>
          <w:bCs/>
          <w:i/>
          <w:iCs/>
          <w:lang w:val="en-US" w:eastAsia="zh-CN"/>
        </w:rPr>
        <w:t xml:space="preserve">Observation 2: </w:t>
      </w:r>
      <w:r>
        <w:rPr>
          <w:rFonts w:hint="eastAsia" w:eastAsia="宋体"/>
          <w:i/>
          <w:iCs/>
          <w:sz w:val="20"/>
          <w:szCs w:val="21"/>
          <w:lang w:val="en-US" w:eastAsia="zh-CN"/>
        </w:rPr>
        <w:t xml:space="preserve">The signalling structure defined in RAN2 can remain unchanged, i.e., allowing that up to 96 cells can be indicated in one CSI-RS measurement object, and each cell can be associated with up to 96 CSI-RS resources (i.e. a total of 9216 CSI-RS resources per MO). </w:t>
      </w:r>
    </w:p>
    <w:p>
      <w:pPr>
        <w:snapToGrid w:val="0"/>
        <w:spacing w:after="120"/>
        <w:rPr>
          <w:rFonts w:eastAsia="宋体"/>
          <w:i/>
          <w:iCs/>
          <w:szCs w:val="21"/>
          <w:lang w:val="en-US" w:eastAsia="zh-CN"/>
        </w:rPr>
      </w:pPr>
      <w:r>
        <w:rPr>
          <w:rFonts w:hint="eastAsia" w:eastAsia="宋体"/>
          <w:b/>
          <w:bCs/>
          <w:i/>
          <w:iCs/>
          <w:lang w:val="en-US" w:eastAsia="zh-CN"/>
        </w:rPr>
        <w:t xml:space="preserve">Observation 3: </w:t>
      </w:r>
      <w:r>
        <w:rPr>
          <w:rFonts w:hint="eastAsia" w:eastAsia="宋体"/>
          <w:i/>
          <w:iCs/>
          <w:szCs w:val="21"/>
          <w:lang w:val="en-US" w:eastAsia="zh-CN"/>
        </w:rPr>
        <w:t xml:space="preserve">Additional restrictions should be specified by RAN4 for CSI-RS </w:t>
      </w:r>
      <w:r>
        <w:rPr>
          <w:rFonts w:eastAsia="宋体"/>
          <w:i/>
          <w:iCs/>
          <w:sz w:val="21"/>
          <w:szCs w:val="22"/>
          <w:lang w:val="en-US" w:eastAsia="zh-CN"/>
        </w:rPr>
        <w:t>resources</w:t>
      </w:r>
      <w:r>
        <w:rPr>
          <w:rFonts w:hint="eastAsia" w:eastAsia="宋体"/>
          <w:i/>
          <w:iCs/>
          <w:sz w:val="21"/>
          <w:szCs w:val="22"/>
          <w:lang w:val="en-US" w:eastAsia="zh-CN"/>
        </w:rPr>
        <w:t xml:space="preserve"> for intra-frequency and inter-frequency measurement considering RAN2 MO framework</w:t>
      </w:r>
      <w:r>
        <w:rPr>
          <w:rFonts w:hint="eastAsia" w:eastAsia="宋体"/>
          <w:i/>
          <w:iCs/>
          <w:szCs w:val="21"/>
          <w:lang w:val="en-US" w:eastAsia="zh-CN"/>
        </w:rPr>
        <w:t>.</w:t>
      </w:r>
    </w:p>
    <w:p>
      <w:pPr>
        <w:snapToGrid w:val="0"/>
        <w:spacing w:after="120"/>
        <w:rPr>
          <w:rFonts w:eastAsia="宋体"/>
          <w:i/>
          <w:iCs/>
          <w:szCs w:val="21"/>
          <w:lang w:val="en-US" w:eastAsia="zh-CN"/>
        </w:rPr>
      </w:pPr>
      <w:r>
        <w:rPr>
          <w:rFonts w:hint="eastAsia" w:eastAsia="宋体"/>
          <w:b/>
          <w:bCs/>
          <w:i/>
          <w:iCs/>
          <w:lang w:val="en-US" w:eastAsia="zh-CN"/>
        </w:rPr>
        <w:t xml:space="preserve">Observation 4: </w:t>
      </w:r>
      <w:r>
        <w:rPr>
          <w:rFonts w:hint="eastAsia" w:eastAsia="宋体"/>
          <w:i/>
          <w:iCs/>
          <w:lang w:val="en-US" w:eastAsia="zh-CN"/>
        </w:rPr>
        <w:t xml:space="preserve">The answers to </w:t>
      </w:r>
      <w:r>
        <w:rPr>
          <w:rFonts w:hint="eastAsia" w:eastAsia="宋体"/>
          <w:i/>
          <w:iCs/>
          <w:szCs w:val="21"/>
          <w:lang w:val="en-US" w:eastAsia="zh-CN"/>
        </w:rPr>
        <w:t>t</w:t>
      </w:r>
      <w:r>
        <w:rPr>
          <w:rFonts w:eastAsia="宋体"/>
          <w:i/>
          <w:iCs/>
          <w:szCs w:val="21"/>
          <w:lang w:val="en-US" w:eastAsia="zh-CN"/>
        </w:rPr>
        <w:t>he</w:t>
      </w:r>
      <w:r>
        <w:rPr>
          <w:rFonts w:hint="eastAsia" w:eastAsia="宋体"/>
          <w:i/>
          <w:iCs/>
          <w:szCs w:val="21"/>
          <w:lang w:val="en-US" w:eastAsia="zh-CN"/>
        </w:rPr>
        <w:t xml:space="preserve"> questions raised in RAN2 LS may be changed after RAN4</w:t>
      </w:r>
      <w:r>
        <w:rPr>
          <w:rFonts w:eastAsia="宋体"/>
          <w:i/>
          <w:iCs/>
          <w:szCs w:val="21"/>
          <w:lang w:val="en-US" w:eastAsia="zh-CN"/>
        </w:rPr>
        <w:t>’</w:t>
      </w:r>
      <w:r>
        <w:rPr>
          <w:rFonts w:hint="eastAsia" w:eastAsia="宋体"/>
          <w:i/>
          <w:iCs/>
          <w:szCs w:val="21"/>
          <w:lang w:val="en-US" w:eastAsia="zh-CN"/>
        </w:rPr>
        <w:t xml:space="preserve">s further decision on </w:t>
      </w:r>
      <w:r>
        <w:rPr>
          <w:rFonts w:eastAsia="宋体"/>
          <w:i/>
          <w:iCs/>
          <w:szCs w:val="21"/>
          <w:lang w:val="en-US" w:eastAsia="zh-CN"/>
        </w:rPr>
        <w:t>introducing possible additional</w:t>
      </w:r>
      <w:r>
        <w:rPr>
          <w:rFonts w:hint="eastAsia" w:eastAsia="宋体"/>
          <w:i/>
          <w:iCs/>
          <w:szCs w:val="21"/>
          <w:lang w:val="en-US" w:eastAsia="zh-CN"/>
        </w:rPr>
        <w:t xml:space="preserve"> restrictions. </w:t>
      </w:r>
    </w:p>
    <w:p>
      <w:pPr>
        <w:pStyle w:val="2"/>
        <w:snapToGrid w:val="0"/>
        <w:spacing w:beforeLines="0" w:after="180" w:afterLines="50"/>
      </w:pPr>
      <w:r>
        <w:rPr>
          <w:rFonts w:hint="eastAsia"/>
        </w:rPr>
        <w:t>Reference</w:t>
      </w:r>
    </w:p>
    <w:p>
      <w:pPr>
        <w:pStyle w:val="94"/>
        <w:spacing w:after="0"/>
        <w:jc w:val="left"/>
        <w:rPr>
          <w:rFonts w:hint="eastAsia" w:ascii="Times New Roman" w:hAnsi="Times New Roman" w:eastAsia="宋体"/>
          <w:b w:val="0"/>
          <w:kern w:val="2"/>
          <w:sz w:val="20"/>
          <w:szCs w:val="21"/>
          <w:lang w:val="en-US"/>
        </w:rPr>
      </w:pPr>
      <w:r>
        <w:rPr>
          <w:rFonts w:hint="eastAsia" w:ascii="Times New Roman" w:hAnsi="Times New Roman" w:eastAsia="宋体"/>
          <w:b w:val="0"/>
          <w:kern w:val="2"/>
          <w:sz w:val="20"/>
          <w:szCs w:val="21"/>
          <w:lang w:val="en-US"/>
        </w:rPr>
        <w:t xml:space="preserve">[1] </w:t>
      </w:r>
      <w:r>
        <w:rPr>
          <w:rFonts w:hint="eastAsia" w:ascii="Times New Roman" w:hAnsi="Times New Roman" w:eastAsia="宋体"/>
          <w:b w:val="0"/>
          <w:kern w:val="2"/>
          <w:sz w:val="20"/>
          <w:szCs w:val="21"/>
          <w:lang w:val="sv-SE"/>
        </w:rPr>
        <w:t>3GPP TSG-RAN2 105</w:t>
      </w:r>
      <w:r>
        <w:rPr>
          <w:rFonts w:hint="eastAsia" w:ascii="Times New Roman" w:hAnsi="Times New Roman" w:eastAsia="宋体"/>
          <w:b w:val="0"/>
          <w:kern w:val="2"/>
          <w:sz w:val="20"/>
          <w:szCs w:val="21"/>
          <w:lang w:val="en-US"/>
        </w:rPr>
        <w:t xml:space="preserve">, </w:t>
      </w:r>
      <w:r>
        <w:rPr>
          <w:rFonts w:hint="eastAsia" w:ascii="Times New Roman" w:hAnsi="Times New Roman" w:eastAsia="宋体"/>
          <w:b w:val="0"/>
          <w:kern w:val="2"/>
          <w:sz w:val="20"/>
          <w:szCs w:val="21"/>
          <w:lang w:val="sv-SE"/>
        </w:rPr>
        <w:t>R2-1902730</w:t>
      </w:r>
      <w:r>
        <w:rPr>
          <w:rFonts w:hint="eastAsia" w:ascii="Times New Roman" w:hAnsi="Times New Roman" w:eastAsia="宋体"/>
          <w:b w:val="0"/>
          <w:kern w:val="2"/>
          <w:sz w:val="20"/>
          <w:szCs w:val="21"/>
          <w:lang w:val="en-US"/>
        </w:rPr>
        <w:t xml:space="preserve">, LS on clarification about CSI-RS measurement, ZTE </w:t>
      </w:r>
    </w:p>
    <w:p>
      <w:pPr>
        <w:pStyle w:val="94"/>
        <w:spacing w:after="0"/>
        <w:jc w:val="left"/>
        <w:rPr>
          <w:rFonts w:hint="eastAsia" w:ascii="Times New Roman" w:hAnsi="Times New Roman" w:eastAsia="宋体"/>
          <w:b w:val="0"/>
          <w:kern w:val="2"/>
          <w:sz w:val="20"/>
          <w:szCs w:val="21"/>
          <w:lang w:val="en-US" w:eastAsia="zh-CN"/>
        </w:rPr>
      </w:pPr>
      <w:r>
        <w:rPr>
          <w:rFonts w:hint="eastAsia" w:ascii="Times New Roman" w:hAnsi="Times New Roman" w:eastAsia="宋体"/>
          <w:b w:val="0"/>
          <w:kern w:val="2"/>
          <w:sz w:val="20"/>
          <w:szCs w:val="21"/>
          <w:lang w:val="en-US" w:eastAsia="zh-CN"/>
        </w:rPr>
        <w:t>[2] R4-1707424 WF on NR RRM measurement</w:t>
      </w:r>
    </w:p>
    <w:p>
      <w:pPr>
        <w:pStyle w:val="82"/>
        <w:snapToGrid w:val="0"/>
        <w:ind w:firstLine="0" w:firstLineChars="0"/>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CA1895"/>
    <w:multiLevelType w:val="multilevel"/>
    <w:tmpl w:val="2BCA1895"/>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86"/>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2EF8"/>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082"/>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411"/>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AF9"/>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0EC"/>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306F24"/>
    <w:rsid w:val="01435C1F"/>
    <w:rsid w:val="014B5D9D"/>
    <w:rsid w:val="01623DF4"/>
    <w:rsid w:val="018C4E10"/>
    <w:rsid w:val="01BE1F86"/>
    <w:rsid w:val="01CF58F4"/>
    <w:rsid w:val="01E376C5"/>
    <w:rsid w:val="01EA05C4"/>
    <w:rsid w:val="01F93655"/>
    <w:rsid w:val="024541E2"/>
    <w:rsid w:val="028A4D94"/>
    <w:rsid w:val="02924F79"/>
    <w:rsid w:val="02A67FEB"/>
    <w:rsid w:val="02B848E1"/>
    <w:rsid w:val="02C12942"/>
    <w:rsid w:val="02C27538"/>
    <w:rsid w:val="02C465D0"/>
    <w:rsid w:val="02CB42F3"/>
    <w:rsid w:val="02CF36E5"/>
    <w:rsid w:val="02D95A87"/>
    <w:rsid w:val="02EB1A31"/>
    <w:rsid w:val="0306050F"/>
    <w:rsid w:val="03106189"/>
    <w:rsid w:val="0311359D"/>
    <w:rsid w:val="03360C02"/>
    <w:rsid w:val="033A2E6B"/>
    <w:rsid w:val="034D5AD2"/>
    <w:rsid w:val="036E3564"/>
    <w:rsid w:val="038C096F"/>
    <w:rsid w:val="03B25D92"/>
    <w:rsid w:val="03B73C22"/>
    <w:rsid w:val="03C85365"/>
    <w:rsid w:val="03D171A7"/>
    <w:rsid w:val="03DE7512"/>
    <w:rsid w:val="04004C68"/>
    <w:rsid w:val="040E4833"/>
    <w:rsid w:val="04227A10"/>
    <w:rsid w:val="042767DF"/>
    <w:rsid w:val="042F1002"/>
    <w:rsid w:val="04447C19"/>
    <w:rsid w:val="0469222B"/>
    <w:rsid w:val="04823F85"/>
    <w:rsid w:val="04B85375"/>
    <w:rsid w:val="04E954F9"/>
    <w:rsid w:val="05324611"/>
    <w:rsid w:val="056061D9"/>
    <w:rsid w:val="05B75B51"/>
    <w:rsid w:val="060600E4"/>
    <w:rsid w:val="061864E1"/>
    <w:rsid w:val="068706B2"/>
    <w:rsid w:val="0690732E"/>
    <w:rsid w:val="06A10337"/>
    <w:rsid w:val="06A62D4B"/>
    <w:rsid w:val="06B85D3A"/>
    <w:rsid w:val="06C1129A"/>
    <w:rsid w:val="06D767B9"/>
    <w:rsid w:val="0711608A"/>
    <w:rsid w:val="072128B2"/>
    <w:rsid w:val="076E434D"/>
    <w:rsid w:val="07811C6E"/>
    <w:rsid w:val="079129AF"/>
    <w:rsid w:val="07AA5731"/>
    <w:rsid w:val="07D715B0"/>
    <w:rsid w:val="07E07F23"/>
    <w:rsid w:val="0811517B"/>
    <w:rsid w:val="08121FA5"/>
    <w:rsid w:val="081656F0"/>
    <w:rsid w:val="08402E48"/>
    <w:rsid w:val="08436133"/>
    <w:rsid w:val="086B53B3"/>
    <w:rsid w:val="08B30835"/>
    <w:rsid w:val="091C19DA"/>
    <w:rsid w:val="094B22B1"/>
    <w:rsid w:val="099A68E9"/>
    <w:rsid w:val="09A64982"/>
    <w:rsid w:val="09CA74D8"/>
    <w:rsid w:val="09F41544"/>
    <w:rsid w:val="0A0803DB"/>
    <w:rsid w:val="0A085DE9"/>
    <w:rsid w:val="0A1039CB"/>
    <w:rsid w:val="0A130914"/>
    <w:rsid w:val="0A284254"/>
    <w:rsid w:val="0A5A0CCD"/>
    <w:rsid w:val="0A5E0EA1"/>
    <w:rsid w:val="0A99506A"/>
    <w:rsid w:val="0A9A0346"/>
    <w:rsid w:val="0A9A1A3F"/>
    <w:rsid w:val="0AA93573"/>
    <w:rsid w:val="0B1E4124"/>
    <w:rsid w:val="0B510958"/>
    <w:rsid w:val="0B816734"/>
    <w:rsid w:val="0B8F1D90"/>
    <w:rsid w:val="0B9E0B65"/>
    <w:rsid w:val="0BB35673"/>
    <w:rsid w:val="0BF659AD"/>
    <w:rsid w:val="0BFD0200"/>
    <w:rsid w:val="0C0D744B"/>
    <w:rsid w:val="0C171831"/>
    <w:rsid w:val="0C29592D"/>
    <w:rsid w:val="0C364FF6"/>
    <w:rsid w:val="0C591714"/>
    <w:rsid w:val="0C6319F4"/>
    <w:rsid w:val="0CCC39BF"/>
    <w:rsid w:val="0CD44AE8"/>
    <w:rsid w:val="0CF70FFC"/>
    <w:rsid w:val="0CF8094A"/>
    <w:rsid w:val="0D217655"/>
    <w:rsid w:val="0DA46A40"/>
    <w:rsid w:val="0DA9162B"/>
    <w:rsid w:val="0DCB1A41"/>
    <w:rsid w:val="0DCF0E06"/>
    <w:rsid w:val="0DD21395"/>
    <w:rsid w:val="0DED3021"/>
    <w:rsid w:val="0DF57CAB"/>
    <w:rsid w:val="0DF76BBE"/>
    <w:rsid w:val="0DFE6F81"/>
    <w:rsid w:val="0E4004C4"/>
    <w:rsid w:val="0E605432"/>
    <w:rsid w:val="0E7273F9"/>
    <w:rsid w:val="0E79606F"/>
    <w:rsid w:val="0EBE79F1"/>
    <w:rsid w:val="0EF67F78"/>
    <w:rsid w:val="0F0E0560"/>
    <w:rsid w:val="0F2135FB"/>
    <w:rsid w:val="0F543DE8"/>
    <w:rsid w:val="0F636724"/>
    <w:rsid w:val="0FC87041"/>
    <w:rsid w:val="0FD41D74"/>
    <w:rsid w:val="0FD60E0E"/>
    <w:rsid w:val="0FDB71CE"/>
    <w:rsid w:val="0FE353A5"/>
    <w:rsid w:val="102B1C42"/>
    <w:rsid w:val="105D13C1"/>
    <w:rsid w:val="109229E1"/>
    <w:rsid w:val="10A94DF3"/>
    <w:rsid w:val="10B14313"/>
    <w:rsid w:val="10B776CF"/>
    <w:rsid w:val="10DB0B79"/>
    <w:rsid w:val="10E3136C"/>
    <w:rsid w:val="10E9119E"/>
    <w:rsid w:val="1136212B"/>
    <w:rsid w:val="114617FE"/>
    <w:rsid w:val="117441B4"/>
    <w:rsid w:val="11835746"/>
    <w:rsid w:val="11C56239"/>
    <w:rsid w:val="11D972EE"/>
    <w:rsid w:val="11DF4BC9"/>
    <w:rsid w:val="12155A83"/>
    <w:rsid w:val="123922F2"/>
    <w:rsid w:val="126E7AEF"/>
    <w:rsid w:val="12A41BDA"/>
    <w:rsid w:val="12BB6307"/>
    <w:rsid w:val="132E115C"/>
    <w:rsid w:val="1347637A"/>
    <w:rsid w:val="13580386"/>
    <w:rsid w:val="137C5099"/>
    <w:rsid w:val="13B50BBE"/>
    <w:rsid w:val="13DC2552"/>
    <w:rsid w:val="13E95834"/>
    <w:rsid w:val="13F94A62"/>
    <w:rsid w:val="13FF1337"/>
    <w:rsid w:val="14112A54"/>
    <w:rsid w:val="14323EFF"/>
    <w:rsid w:val="14545A4E"/>
    <w:rsid w:val="146F1C00"/>
    <w:rsid w:val="14833DFA"/>
    <w:rsid w:val="14DD589F"/>
    <w:rsid w:val="14E36748"/>
    <w:rsid w:val="15306F04"/>
    <w:rsid w:val="15440AA4"/>
    <w:rsid w:val="15503B82"/>
    <w:rsid w:val="15CB01DE"/>
    <w:rsid w:val="15CE0771"/>
    <w:rsid w:val="15D74D91"/>
    <w:rsid w:val="15E36279"/>
    <w:rsid w:val="15F81A35"/>
    <w:rsid w:val="1681384E"/>
    <w:rsid w:val="16A24FA0"/>
    <w:rsid w:val="16B70D4C"/>
    <w:rsid w:val="16BE2023"/>
    <w:rsid w:val="16C42867"/>
    <w:rsid w:val="16D17091"/>
    <w:rsid w:val="16D24F89"/>
    <w:rsid w:val="16FA4184"/>
    <w:rsid w:val="170C14B3"/>
    <w:rsid w:val="172100AA"/>
    <w:rsid w:val="17433979"/>
    <w:rsid w:val="174640EA"/>
    <w:rsid w:val="1768135A"/>
    <w:rsid w:val="17B34E39"/>
    <w:rsid w:val="17C51AC9"/>
    <w:rsid w:val="17CB4230"/>
    <w:rsid w:val="17E04D27"/>
    <w:rsid w:val="17EE3069"/>
    <w:rsid w:val="188B2739"/>
    <w:rsid w:val="189429C4"/>
    <w:rsid w:val="18D844AF"/>
    <w:rsid w:val="18E87A5D"/>
    <w:rsid w:val="19080A5A"/>
    <w:rsid w:val="190B0D87"/>
    <w:rsid w:val="195651BA"/>
    <w:rsid w:val="198F45DD"/>
    <w:rsid w:val="1A0A0B65"/>
    <w:rsid w:val="1A107C4B"/>
    <w:rsid w:val="1A1800E1"/>
    <w:rsid w:val="1A33603E"/>
    <w:rsid w:val="1AA26902"/>
    <w:rsid w:val="1AB00207"/>
    <w:rsid w:val="1ABE7D37"/>
    <w:rsid w:val="1AC1475C"/>
    <w:rsid w:val="1B0C0AEB"/>
    <w:rsid w:val="1B1073A7"/>
    <w:rsid w:val="1B1B27AF"/>
    <w:rsid w:val="1B364410"/>
    <w:rsid w:val="1B386B58"/>
    <w:rsid w:val="1B52216C"/>
    <w:rsid w:val="1B9C1B7E"/>
    <w:rsid w:val="1C0E6C08"/>
    <w:rsid w:val="1C114AF8"/>
    <w:rsid w:val="1C215368"/>
    <w:rsid w:val="1C496310"/>
    <w:rsid w:val="1C4F2D2B"/>
    <w:rsid w:val="1C534BE9"/>
    <w:rsid w:val="1C5D4224"/>
    <w:rsid w:val="1C6617F4"/>
    <w:rsid w:val="1C7A1A02"/>
    <w:rsid w:val="1CA42BA9"/>
    <w:rsid w:val="1CC649DE"/>
    <w:rsid w:val="1D315FC2"/>
    <w:rsid w:val="1D3F112C"/>
    <w:rsid w:val="1D5A73FE"/>
    <w:rsid w:val="1D815C8A"/>
    <w:rsid w:val="1E29738D"/>
    <w:rsid w:val="1E2F6AB6"/>
    <w:rsid w:val="1E6F3B06"/>
    <w:rsid w:val="1E7B2BA0"/>
    <w:rsid w:val="1E844BA6"/>
    <w:rsid w:val="1E8B087E"/>
    <w:rsid w:val="1EA36749"/>
    <w:rsid w:val="1EDA6D28"/>
    <w:rsid w:val="1EFB1085"/>
    <w:rsid w:val="1F3D2A51"/>
    <w:rsid w:val="1F3E3733"/>
    <w:rsid w:val="1F5E4FF4"/>
    <w:rsid w:val="1F7226EA"/>
    <w:rsid w:val="1F7F1019"/>
    <w:rsid w:val="1F9472D6"/>
    <w:rsid w:val="1F9675F9"/>
    <w:rsid w:val="1FB27655"/>
    <w:rsid w:val="1FB4633A"/>
    <w:rsid w:val="1FBD7732"/>
    <w:rsid w:val="1FEA1845"/>
    <w:rsid w:val="1FF037A6"/>
    <w:rsid w:val="1FF41ACD"/>
    <w:rsid w:val="202D747E"/>
    <w:rsid w:val="20410913"/>
    <w:rsid w:val="2045604F"/>
    <w:rsid w:val="205516BE"/>
    <w:rsid w:val="207D64D7"/>
    <w:rsid w:val="208166FD"/>
    <w:rsid w:val="20924364"/>
    <w:rsid w:val="209E0CEA"/>
    <w:rsid w:val="21056ADC"/>
    <w:rsid w:val="215C09B6"/>
    <w:rsid w:val="216D33DF"/>
    <w:rsid w:val="21744F54"/>
    <w:rsid w:val="2174526F"/>
    <w:rsid w:val="21C65751"/>
    <w:rsid w:val="21C65F78"/>
    <w:rsid w:val="21E23CAE"/>
    <w:rsid w:val="21F17ACA"/>
    <w:rsid w:val="224D2EBB"/>
    <w:rsid w:val="22757B40"/>
    <w:rsid w:val="22A129F3"/>
    <w:rsid w:val="22CE1F32"/>
    <w:rsid w:val="22D61FCE"/>
    <w:rsid w:val="22FC0047"/>
    <w:rsid w:val="234B62FA"/>
    <w:rsid w:val="237960DC"/>
    <w:rsid w:val="23A15217"/>
    <w:rsid w:val="23AD60D7"/>
    <w:rsid w:val="23BA4644"/>
    <w:rsid w:val="23C12F43"/>
    <w:rsid w:val="23E10179"/>
    <w:rsid w:val="242A0212"/>
    <w:rsid w:val="245743B5"/>
    <w:rsid w:val="247373FE"/>
    <w:rsid w:val="247513E0"/>
    <w:rsid w:val="24754273"/>
    <w:rsid w:val="24850182"/>
    <w:rsid w:val="24C36057"/>
    <w:rsid w:val="24CD4542"/>
    <w:rsid w:val="24D407A5"/>
    <w:rsid w:val="250E42C9"/>
    <w:rsid w:val="251657BB"/>
    <w:rsid w:val="25696161"/>
    <w:rsid w:val="25B81417"/>
    <w:rsid w:val="25BB704A"/>
    <w:rsid w:val="25DF5B39"/>
    <w:rsid w:val="25FE407C"/>
    <w:rsid w:val="26337CF9"/>
    <w:rsid w:val="263B1095"/>
    <w:rsid w:val="263D7BD2"/>
    <w:rsid w:val="26434C04"/>
    <w:rsid w:val="264A7883"/>
    <w:rsid w:val="26894387"/>
    <w:rsid w:val="26AE7FB2"/>
    <w:rsid w:val="26D4632B"/>
    <w:rsid w:val="26DF0CF8"/>
    <w:rsid w:val="27446A7A"/>
    <w:rsid w:val="274E2F46"/>
    <w:rsid w:val="275470A4"/>
    <w:rsid w:val="27B3313C"/>
    <w:rsid w:val="27C719BF"/>
    <w:rsid w:val="27FB14E9"/>
    <w:rsid w:val="27FF4502"/>
    <w:rsid w:val="281C767E"/>
    <w:rsid w:val="28425FD1"/>
    <w:rsid w:val="286354F2"/>
    <w:rsid w:val="28650795"/>
    <w:rsid w:val="28782C39"/>
    <w:rsid w:val="28840AAD"/>
    <w:rsid w:val="28904541"/>
    <w:rsid w:val="28954ED3"/>
    <w:rsid w:val="28A4424B"/>
    <w:rsid w:val="28B52071"/>
    <w:rsid w:val="28B77185"/>
    <w:rsid w:val="28D31AE7"/>
    <w:rsid w:val="29064877"/>
    <w:rsid w:val="29216FE3"/>
    <w:rsid w:val="292D3D2F"/>
    <w:rsid w:val="29654FEE"/>
    <w:rsid w:val="29937C67"/>
    <w:rsid w:val="29C36304"/>
    <w:rsid w:val="29F06DAE"/>
    <w:rsid w:val="29F2441B"/>
    <w:rsid w:val="2A12193D"/>
    <w:rsid w:val="2A1C742C"/>
    <w:rsid w:val="2A26063F"/>
    <w:rsid w:val="2A714F67"/>
    <w:rsid w:val="2AD72C26"/>
    <w:rsid w:val="2AD7710A"/>
    <w:rsid w:val="2ADA009F"/>
    <w:rsid w:val="2AE06BC0"/>
    <w:rsid w:val="2AE33FB8"/>
    <w:rsid w:val="2AEB310F"/>
    <w:rsid w:val="2B0428DA"/>
    <w:rsid w:val="2B09698D"/>
    <w:rsid w:val="2B1C530D"/>
    <w:rsid w:val="2B3453FF"/>
    <w:rsid w:val="2B524068"/>
    <w:rsid w:val="2B5C01FD"/>
    <w:rsid w:val="2B7111A7"/>
    <w:rsid w:val="2B9E2D01"/>
    <w:rsid w:val="2BB52FB9"/>
    <w:rsid w:val="2BBD31DA"/>
    <w:rsid w:val="2BC44501"/>
    <w:rsid w:val="2BE0439F"/>
    <w:rsid w:val="2BEC7D02"/>
    <w:rsid w:val="2BFD1F4E"/>
    <w:rsid w:val="2C283BC8"/>
    <w:rsid w:val="2C2A6227"/>
    <w:rsid w:val="2C3459DF"/>
    <w:rsid w:val="2C380D85"/>
    <w:rsid w:val="2C4E5F13"/>
    <w:rsid w:val="2C693C27"/>
    <w:rsid w:val="2CA84B75"/>
    <w:rsid w:val="2CF5031E"/>
    <w:rsid w:val="2CF53CF9"/>
    <w:rsid w:val="2D0749AD"/>
    <w:rsid w:val="2D093C9F"/>
    <w:rsid w:val="2D0C4432"/>
    <w:rsid w:val="2D3B7916"/>
    <w:rsid w:val="2D3C3CD7"/>
    <w:rsid w:val="2D4B4DCC"/>
    <w:rsid w:val="2DA35B4E"/>
    <w:rsid w:val="2DB600C3"/>
    <w:rsid w:val="2DC20E1D"/>
    <w:rsid w:val="2DC33297"/>
    <w:rsid w:val="2DD50DFF"/>
    <w:rsid w:val="2DE87A40"/>
    <w:rsid w:val="2E173F56"/>
    <w:rsid w:val="2E29079C"/>
    <w:rsid w:val="2E2956AC"/>
    <w:rsid w:val="2E3D5A5B"/>
    <w:rsid w:val="2E48670E"/>
    <w:rsid w:val="2E6C00D1"/>
    <w:rsid w:val="2E6C5330"/>
    <w:rsid w:val="2E735A6E"/>
    <w:rsid w:val="2E9B3055"/>
    <w:rsid w:val="2E9B4766"/>
    <w:rsid w:val="2E9D2F33"/>
    <w:rsid w:val="2EA5491E"/>
    <w:rsid w:val="2EB9185C"/>
    <w:rsid w:val="2ED315FA"/>
    <w:rsid w:val="2EDA4865"/>
    <w:rsid w:val="2EF2578E"/>
    <w:rsid w:val="2F086F58"/>
    <w:rsid w:val="2F341996"/>
    <w:rsid w:val="2F4128D8"/>
    <w:rsid w:val="2F77429A"/>
    <w:rsid w:val="2FA97745"/>
    <w:rsid w:val="2FAC5FF8"/>
    <w:rsid w:val="2FE333E0"/>
    <w:rsid w:val="30093A7F"/>
    <w:rsid w:val="30367EDF"/>
    <w:rsid w:val="304A4945"/>
    <w:rsid w:val="3058440F"/>
    <w:rsid w:val="30660772"/>
    <w:rsid w:val="30C1634B"/>
    <w:rsid w:val="30D01C69"/>
    <w:rsid w:val="30DA4C77"/>
    <w:rsid w:val="30EC4B0C"/>
    <w:rsid w:val="30ED594E"/>
    <w:rsid w:val="30F53179"/>
    <w:rsid w:val="3129011E"/>
    <w:rsid w:val="312C0CAE"/>
    <w:rsid w:val="315B0AD4"/>
    <w:rsid w:val="315F46A2"/>
    <w:rsid w:val="31A506BA"/>
    <w:rsid w:val="31AF13C3"/>
    <w:rsid w:val="31BC417F"/>
    <w:rsid w:val="31D76CFA"/>
    <w:rsid w:val="3203368C"/>
    <w:rsid w:val="32035324"/>
    <w:rsid w:val="320A36C1"/>
    <w:rsid w:val="322915EE"/>
    <w:rsid w:val="322A00D0"/>
    <w:rsid w:val="32354210"/>
    <w:rsid w:val="323D35EB"/>
    <w:rsid w:val="3259367F"/>
    <w:rsid w:val="32606F60"/>
    <w:rsid w:val="326E6892"/>
    <w:rsid w:val="32713601"/>
    <w:rsid w:val="327C2DDA"/>
    <w:rsid w:val="32C35751"/>
    <w:rsid w:val="32DC04F7"/>
    <w:rsid w:val="32EC5D4C"/>
    <w:rsid w:val="3374391F"/>
    <w:rsid w:val="33774D25"/>
    <w:rsid w:val="33916233"/>
    <w:rsid w:val="33965837"/>
    <w:rsid w:val="33AA50E6"/>
    <w:rsid w:val="33B43DDB"/>
    <w:rsid w:val="33BE1C24"/>
    <w:rsid w:val="33C662A1"/>
    <w:rsid w:val="33E25A2F"/>
    <w:rsid w:val="341D3E0C"/>
    <w:rsid w:val="34443420"/>
    <w:rsid w:val="34561EE4"/>
    <w:rsid w:val="346517CC"/>
    <w:rsid w:val="348C273F"/>
    <w:rsid w:val="34942631"/>
    <w:rsid w:val="34A47250"/>
    <w:rsid w:val="34C31F31"/>
    <w:rsid w:val="3522430E"/>
    <w:rsid w:val="352D79E6"/>
    <w:rsid w:val="352E0F08"/>
    <w:rsid w:val="354B6D1C"/>
    <w:rsid w:val="356670E1"/>
    <w:rsid w:val="359547EC"/>
    <w:rsid w:val="35A21866"/>
    <w:rsid w:val="35B11267"/>
    <w:rsid w:val="35DE6C72"/>
    <w:rsid w:val="35F43BC7"/>
    <w:rsid w:val="35F72C7E"/>
    <w:rsid w:val="35FF1ADE"/>
    <w:rsid w:val="360258DD"/>
    <w:rsid w:val="361A4245"/>
    <w:rsid w:val="3643680D"/>
    <w:rsid w:val="365E6D3E"/>
    <w:rsid w:val="366C1501"/>
    <w:rsid w:val="369938FE"/>
    <w:rsid w:val="36A4320C"/>
    <w:rsid w:val="36D53214"/>
    <w:rsid w:val="36E771D1"/>
    <w:rsid w:val="372B16AC"/>
    <w:rsid w:val="37894C13"/>
    <w:rsid w:val="378D3916"/>
    <w:rsid w:val="37B72410"/>
    <w:rsid w:val="37E272A3"/>
    <w:rsid w:val="37F95AB0"/>
    <w:rsid w:val="38570608"/>
    <w:rsid w:val="389319E2"/>
    <w:rsid w:val="38AD2A2D"/>
    <w:rsid w:val="38D830AC"/>
    <w:rsid w:val="38FC0D9E"/>
    <w:rsid w:val="38FD1938"/>
    <w:rsid w:val="39011B8F"/>
    <w:rsid w:val="39315B32"/>
    <w:rsid w:val="39483619"/>
    <w:rsid w:val="398F207C"/>
    <w:rsid w:val="3A2071EB"/>
    <w:rsid w:val="3A347336"/>
    <w:rsid w:val="3A45527B"/>
    <w:rsid w:val="3A6D38A3"/>
    <w:rsid w:val="3A7D46D4"/>
    <w:rsid w:val="3A817C0C"/>
    <w:rsid w:val="3A8379EE"/>
    <w:rsid w:val="3A867E60"/>
    <w:rsid w:val="3A9E48B4"/>
    <w:rsid w:val="3AAA1E14"/>
    <w:rsid w:val="3AAF0EA0"/>
    <w:rsid w:val="3B0555C5"/>
    <w:rsid w:val="3B0C3BD9"/>
    <w:rsid w:val="3B233B40"/>
    <w:rsid w:val="3B3165C4"/>
    <w:rsid w:val="3B6B0E42"/>
    <w:rsid w:val="3B8B4B46"/>
    <w:rsid w:val="3BA751CD"/>
    <w:rsid w:val="3BE15BDA"/>
    <w:rsid w:val="3BE71D07"/>
    <w:rsid w:val="3C3D72C4"/>
    <w:rsid w:val="3C512A11"/>
    <w:rsid w:val="3C8730DE"/>
    <w:rsid w:val="3C8B2C9C"/>
    <w:rsid w:val="3C983BA7"/>
    <w:rsid w:val="3CA712CF"/>
    <w:rsid w:val="3CB357B6"/>
    <w:rsid w:val="3CC5214A"/>
    <w:rsid w:val="3CD33016"/>
    <w:rsid w:val="3CE1131C"/>
    <w:rsid w:val="3D0172FC"/>
    <w:rsid w:val="3D18140B"/>
    <w:rsid w:val="3D2429B9"/>
    <w:rsid w:val="3D366C02"/>
    <w:rsid w:val="3D8F09F2"/>
    <w:rsid w:val="3DA4485B"/>
    <w:rsid w:val="3DAD6357"/>
    <w:rsid w:val="3DB957C4"/>
    <w:rsid w:val="3DC13DCB"/>
    <w:rsid w:val="3DE9747B"/>
    <w:rsid w:val="3F076CE1"/>
    <w:rsid w:val="3F290C3E"/>
    <w:rsid w:val="3F2A4F31"/>
    <w:rsid w:val="3F334234"/>
    <w:rsid w:val="3F4D5B04"/>
    <w:rsid w:val="3F647372"/>
    <w:rsid w:val="3F731EBD"/>
    <w:rsid w:val="3FA028F1"/>
    <w:rsid w:val="3FC43592"/>
    <w:rsid w:val="3FCA54FF"/>
    <w:rsid w:val="3FDB75E6"/>
    <w:rsid w:val="40053AEF"/>
    <w:rsid w:val="403C1B2B"/>
    <w:rsid w:val="405A5EA8"/>
    <w:rsid w:val="406B2D42"/>
    <w:rsid w:val="406F7959"/>
    <w:rsid w:val="4084317D"/>
    <w:rsid w:val="40B1111B"/>
    <w:rsid w:val="40C8546D"/>
    <w:rsid w:val="40E83FEB"/>
    <w:rsid w:val="41245CF6"/>
    <w:rsid w:val="413A5B26"/>
    <w:rsid w:val="41451745"/>
    <w:rsid w:val="419068A2"/>
    <w:rsid w:val="4192041B"/>
    <w:rsid w:val="41A50E7A"/>
    <w:rsid w:val="41BA75D5"/>
    <w:rsid w:val="41BD02EC"/>
    <w:rsid w:val="41D3372D"/>
    <w:rsid w:val="42185649"/>
    <w:rsid w:val="42313309"/>
    <w:rsid w:val="424E280C"/>
    <w:rsid w:val="42761480"/>
    <w:rsid w:val="428201C1"/>
    <w:rsid w:val="42910D65"/>
    <w:rsid w:val="429E3367"/>
    <w:rsid w:val="42A30205"/>
    <w:rsid w:val="430E241E"/>
    <w:rsid w:val="439D11D5"/>
    <w:rsid w:val="43A632D7"/>
    <w:rsid w:val="43B70849"/>
    <w:rsid w:val="43D21251"/>
    <w:rsid w:val="43F15ABD"/>
    <w:rsid w:val="43FC7EC1"/>
    <w:rsid w:val="443505A1"/>
    <w:rsid w:val="4462219F"/>
    <w:rsid w:val="44691C85"/>
    <w:rsid w:val="447D1309"/>
    <w:rsid w:val="44B67F46"/>
    <w:rsid w:val="44C21817"/>
    <w:rsid w:val="45BB4B97"/>
    <w:rsid w:val="45D3605B"/>
    <w:rsid w:val="46114315"/>
    <w:rsid w:val="46261E01"/>
    <w:rsid w:val="463150DD"/>
    <w:rsid w:val="464F4194"/>
    <w:rsid w:val="46537468"/>
    <w:rsid w:val="4658098E"/>
    <w:rsid w:val="468E7879"/>
    <w:rsid w:val="46A27788"/>
    <w:rsid w:val="46AD6449"/>
    <w:rsid w:val="46CD27B0"/>
    <w:rsid w:val="46E52D55"/>
    <w:rsid w:val="470A789B"/>
    <w:rsid w:val="47757A1F"/>
    <w:rsid w:val="47907381"/>
    <w:rsid w:val="479421ED"/>
    <w:rsid w:val="47BF2FE6"/>
    <w:rsid w:val="47E95F2A"/>
    <w:rsid w:val="47FD2FE3"/>
    <w:rsid w:val="48084996"/>
    <w:rsid w:val="48162584"/>
    <w:rsid w:val="482800B2"/>
    <w:rsid w:val="48363D2A"/>
    <w:rsid w:val="487D7356"/>
    <w:rsid w:val="48870671"/>
    <w:rsid w:val="49410765"/>
    <w:rsid w:val="49507BE5"/>
    <w:rsid w:val="498440C7"/>
    <w:rsid w:val="499A1A23"/>
    <w:rsid w:val="49AD07BA"/>
    <w:rsid w:val="49C4760B"/>
    <w:rsid w:val="4A056D29"/>
    <w:rsid w:val="4A2328EA"/>
    <w:rsid w:val="4A6D15B3"/>
    <w:rsid w:val="4A8422B9"/>
    <w:rsid w:val="4AA5779F"/>
    <w:rsid w:val="4ADB3001"/>
    <w:rsid w:val="4B0A7ACA"/>
    <w:rsid w:val="4B1701F7"/>
    <w:rsid w:val="4B23452C"/>
    <w:rsid w:val="4B341871"/>
    <w:rsid w:val="4B573495"/>
    <w:rsid w:val="4B5A3F42"/>
    <w:rsid w:val="4B773064"/>
    <w:rsid w:val="4B79775E"/>
    <w:rsid w:val="4B801B9C"/>
    <w:rsid w:val="4BCB580F"/>
    <w:rsid w:val="4BCC66EC"/>
    <w:rsid w:val="4BD923A6"/>
    <w:rsid w:val="4BDF40A9"/>
    <w:rsid w:val="4BE61521"/>
    <w:rsid w:val="4BE947DF"/>
    <w:rsid w:val="4C02716A"/>
    <w:rsid w:val="4C1D24E0"/>
    <w:rsid w:val="4C2653D5"/>
    <w:rsid w:val="4C646927"/>
    <w:rsid w:val="4D02651B"/>
    <w:rsid w:val="4D064DC8"/>
    <w:rsid w:val="4D347ED8"/>
    <w:rsid w:val="4D4C1002"/>
    <w:rsid w:val="4D564D40"/>
    <w:rsid w:val="4D6F1420"/>
    <w:rsid w:val="4D716000"/>
    <w:rsid w:val="4D774226"/>
    <w:rsid w:val="4DB04359"/>
    <w:rsid w:val="4DE93845"/>
    <w:rsid w:val="4DF7667D"/>
    <w:rsid w:val="4E7B36E9"/>
    <w:rsid w:val="4ED4056B"/>
    <w:rsid w:val="4EE27EDE"/>
    <w:rsid w:val="4EE771E5"/>
    <w:rsid w:val="4F1D371F"/>
    <w:rsid w:val="4F3B31A2"/>
    <w:rsid w:val="4F3F766A"/>
    <w:rsid w:val="4F4B57AF"/>
    <w:rsid w:val="4F572D9B"/>
    <w:rsid w:val="4F667937"/>
    <w:rsid w:val="4F703A80"/>
    <w:rsid w:val="4F8D46D4"/>
    <w:rsid w:val="4F8F6452"/>
    <w:rsid w:val="4F9029C9"/>
    <w:rsid w:val="4FBA5219"/>
    <w:rsid w:val="4FC37AD4"/>
    <w:rsid w:val="4FC61082"/>
    <w:rsid w:val="501628A8"/>
    <w:rsid w:val="501A112A"/>
    <w:rsid w:val="50564DDA"/>
    <w:rsid w:val="50666688"/>
    <w:rsid w:val="50D85FFE"/>
    <w:rsid w:val="50DA2806"/>
    <w:rsid w:val="50E21BB2"/>
    <w:rsid w:val="50E7254D"/>
    <w:rsid w:val="50FC4636"/>
    <w:rsid w:val="510030C4"/>
    <w:rsid w:val="51513E56"/>
    <w:rsid w:val="515A1CDE"/>
    <w:rsid w:val="515F5700"/>
    <w:rsid w:val="51650323"/>
    <w:rsid w:val="51DE21E2"/>
    <w:rsid w:val="51ED7CD0"/>
    <w:rsid w:val="52101944"/>
    <w:rsid w:val="522C75C4"/>
    <w:rsid w:val="523315CA"/>
    <w:rsid w:val="52582D49"/>
    <w:rsid w:val="525B1F84"/>
    <w:rsid w:val="526651A4"/>
    <w:rsid w:val="526A12AF"/>
    <w:rsid w:val="526C1D2D"/>
    <w:rsid w:val="52FB303E"/>
    <w:rsid w:val="5321588C"/>
    <w:rsid w:val="533D1B3D"/>
    <w:rsid w:val="533E38EB"/>
    <w:rsid w:val="535E481A"/>
    <w:rsid w:val="537A528C"/>
    <w:rsid w:val="53EE5615"/>
    <w:rsid w:val="5424586C"/>
    <w:rsid w:val="54377E46"/>
    <w:rsid w:val="547745D2"/>
    <w:rsid w:val="547E77C6"/>
    <w:rsid w:val="54AC7E8C"/>
    <w:rsid w:val="550831C7"/>
    <w:rsid w:val="551807D0"/>
    <w:rsid w:val="553D5C64"/>
    <w:rsid w:val="554124AE"/>
    <w:rsid w:val="55855731"/>
    <w:rsid w:val="55906DDC"/>
    <w:rsid w:val="55C915A1"/>
    <w:rsid w:val="55DA3793"/>
    <w:rsid w:val="560770DA"/>
    <w:rsid w:val="561B16B1"/>
    <w:rsid w:val="56441C00"/>
    <w:rsid w:val="565C5CE0"/>
    <w:rsid w:val="56636EF2"/>
    <w:rsid w:val="566B2971"/>
    <w:rsid w:val="56882DA7"/>
    <w:rsid w:val="56F41F92"/>
    <w:rsid w:val="576630FD"/>
    <w:rsid w:val="577B22E6"/>
    <w:rsid w:val="578D5E33"/>
    <w:rsid w:val="57960862"/>
    <w:rsid w:val="57A929BA"/>
    <w:rsid w:val="57BC4C9C"/>
    <w:rsid w:val="57CA25F9"/>
    <w:rsid w:val="57CD3178"/>
    <w:rsid w:val="57CE1FAE"/>
    <w:rsid w:val="57D2683A"/>
    <w:rsid w:val="57D41B1A"/>
    <w:rsid w:val="57DF0946"/>
    <w:rsid w:val="57E112D3"/>
    <w:rsid w:val="57EA5692"/>
    <w:rsid w:val="583341E1"/>
    <w:rsid w:val="58371634"/>
    <w:rsid w:val="583B50EA"/>
    <w:rsid w:val="583E160B"/>
    <w:rsid w:val="589A414C"/>
    <w:rsid w:val="58C401AC"/>
    <w:rsid w:val="591C7ADE"/>
    <w:rsid w:val="59552C1E"/>
    <w:rsid w:val="596C4A2A"/>
    <w:rsid w:val="5993415C"/>
    <w:rsid w:val="59CB7C78"/>
    <w:rsid w:val="59D20B82"/>
    <w:rsid w:val="59FF6944"/>
    <w:rsid w:val="5A315FC3"/>
    <w:rsid w:val="5A664B21"/>
    <w:rsid w:val="5A9F4265"/>
    <w:rsid w:val="5AC04993"/>
    <w:rsid w:val="5AC703B1"/>
    <w:rsid w:val="5AC712D6"/>
    <w:rsid w:val="5ADB6FB9"/>
    <w:rsid w:val="5B026F17"/>
    <w:rsid w:val="5B5B4AAF"/>
    <w:rsid w:val="5BAF2CF5"/>
    <w:rsid w:val="5BB721DA"/>
    <w:rsid w:val="5BC773EA"/>
    <w:rsid w:val="5BD02F8B"/>
    <w:rsid w:val="5BE744EF"/>
    <w:rsid w:val="5C173C1A"/>
    <w:rsid w:val="5C27435A"/>
    <w:rsid w:val="5C593289"/>
    <w:rsid w:val="5CA2296A"/>
    <w:rsid w:val="5CCC426D"/>
    <w:rsid w:val="5CE50C89"/>
    <w:rsid w:val="5CE63B5B"/>
    <w:rsid w:val="5CF365AE"/>
    <w:rsid w:val="5CFF6EA7"/>
    <w:rsid w:val="5D0513F5"/>
    <w:rsid w:val="5D0706D6"/>
    <w:rsid w:val="5D170CD5"/>
    <w:rsid w:val="5D1A5393"/>
    <w:rsid w:val="5D570815"/>
    <w:rsid w:val="5DA52210"/>
    <w:rsid w:val="5DBD214F"/>
    <w:rsid w:val="5DE2255B"/>
    <w:rsid w:val="5DF9398D"/>
    <w:rsid w:val="5E095FD6"/>
    <w:rsid w:val="5E181629"/>
    <w:rsid w:val="5E395BAE"/>
    <w:rsid w:val="5E5D258D"/>
    <w:rsid w:val="5E7334C3"/>
    <w:rsid w:val="5EA5212B"/>
    <w:rsid w:val="5ED07993"/>
    <w:rsid w:val="5F1F5FAD"/>
    <w:rsid w:val="5F25133A"/>
    <w:rsid w:val="5F3F19E2"/>
    <w:rsid w:val="5F456BB3"/>
    <w:rsid w:val="5F681BAB"/>
    <w:rsid w:val="5F6D4510"/>
    <w:rsid w:val="5F726C0E"/>
    <w:rsid w:val="5F7A458B"/>
    <w:rsid w:val="5FCE51B0"/>
    <w:rsid w:val="60401604"/>
    <w:rsid w:val="60626619"/>
    <w:rsid w:val="60643C92"/>
    <w:rsid w:val="609C7BCC"/>
    <w:rsid w:val="60E174E9"/>
    <w:rsid w:val="60E75D3C"/>
    <w:rsid w:val="61415E1E"/>
    <w:rsid w:val="616D3845"/>
    <w:rsid w:val="61882402"/>
    <w:rsid w:val="619706BD"/>
    <w:rsid w:val="6197282A"/>
    <w:rsid w:val="61CA7F79"/>
    <w:rsid w:val="61FF6957"/>
    <w:rsid w:val="6208426B"/>
    <w:rsid w:val="62095C8A"/>
    <w:rsid w:val="62170A67"/>
    <w:rsid w:val="62527325"/>
    <w:rsid w:val="6274710F"/>
    <w:rsid w:val="62A26D46"/>
    <w:rsid w:val="62B266B5"/>
    <w:rsid w:val="62D40767"/>
    <w:rsid w:val="62F52B28"/>
    <w:rsid w:val="62FB3CAA"/>
    <w:rsid w:val="633356A8"/>
    <w:rsid w:val="63AC267A"/>
    <w:rsid w:val="6403179D"/>
    <w:rsid w:val="640B59F5"/>
    <w:rsid w:val="643108F6"/>
    <w:rsid w:val="643F2780"/>
    <w:rsid w:val="64577857"/>
    <w:rsid w:val="64C76A7A"/>
    <w:rsid w:val="64CA19AF"/>
    <w:rsid w:val="64F05EEF"/>
    <w:rsid w:val="64F83A87"/>
    <w:rsid w:val="6591582E"/>
    <w:rsid w:val="662846E8"/>
    <w:rsid w:val="662F3307"/>
    <w:rsid w:val="665D09A0"/>
    <w:rsid w:val="665D146A"/>
    <w:rsid w:val="66AA76F2"/>
    <w:rsid w:val="66B42E17"/>
    <w:rsid w:val="66B7682F"/>
    <w:rsid w:val="66D3237B"/>
    <w:rsid w:val="66F811BF"/>
    <w:rsid w:val="67057B4E"/>
    <w:rsid w:val="67166EC5"/>
    <w:rsid w:val="67210094"/>
    <w:rsid w:val="67336828"/>
    <w:rsid w:val="673F1301"/>
    <w:rsid w:val="674F376A"/>
    <w:rsid w:val="675E1C55"/>
    <w:rsid w:val="676A31F2"/>
    <w:rsid w:val="67AD67FD"/>
    <w:rsid w:val="67BF2296"/>
    <w:rsid w:val="67EC2A68"/>
    <w:rsid w:val="67FE4DA3"/>
    <w:rsid w:val="68357404"/>
    <w:rsid w:val="686167C2"/>
    <w:rsid w:val="68C107A0"/>
    <w:rsid w:val="68CF01B8"/>
    <w:rsid w:val="68E2188C"/>
    <w:rsid w:val="68E432F2"/>
    <w:rsid w:val="690A6585"/>
    <w:rsid w:val="692320B4"/>
    <w:rsid w:val="69241240"/>
    <w:rsid w:val="694B03F5"/>
    <w:rsid w:val="6951732D"/>
    <w:rsid w:val="69545358"/>
    <w:rsid w:val="698A76FD"/>
    <w:rsid w:val="69D31D91"/>
    <w:rsid w:val="69D54202"/>
    <w:rsid w:val="6A080DE2"/>
    <w:rsid w:val="6A312737"/>
    <w:rsid w:val="6A9C7191"/>
    <w:rsid w:val="6AD5034D"/>
    <w:rsid w:val="6B294C84"/>
    <w:rsid w:val="6B474827"/>
    <w:rsid w:val="6B631FAE"/>
    <w:rsid w:val="6B7211DE"/>
    <w:rsid w:val="6BAC63E0"/>
    <w:rsid w:val="6BAD5022"/>
    <w:rsid w:val="6BBD6EB4"/>
    <w:rsid w:val="6BBF64CC"/>
    <w:rsid w:val="6C804FCB"/>
    <w:rsid w:val="6CA2751B"/>
    <w:rsid w:val="6CCC097C"/>
    <w:rsid w:val="6CD723CB"/>
    <w:rsid w:val="6CF40EAB"/>
    <w:rsid w:val="6D1839B1"/>
    <w:rsid w:val="6D5504D8"/>
    <w:rsid w:val="6DDD0342"/>
    <w:rsid w:val="6DE727F2"/>
    <w:rsid w:val="6DEA31C8"/>
    <w:rsid w:val="6DFB1613"/>
    <w:rsid w:val="6E234302"/>
    <w:rsid w:val="6E33758F"/>
    <w:rsid w:val="6E655319"/>
    <w:rsid w:val="6EA93624"/>
    <w:rsid w:val="6ECE201A"/>
    <w:rsid w:val="6ECE4C80"/>
    <w:rsid w:val="6EE558A8"/>
    <w:rsid w:val="6F0C0585"/>
    <w:rsid w:val="6F1079AE"/>
    <w:rsid w:val="6F182133"/>
    <w:rsid w:val="6F1F23DF"/>
    <w:rsid w:val="6F452D87"/>
    <w:rsid w:val="6F7B76F7"/>
    <w:rsid w:val="6FD02075"/>
    <w:rsid w:val="6FEE000B"/>
    <w:rsid w:val="6FF373F6"/>
    <w:rsid w:val="701D287D"/>
    <w:rsid w:val="70322864"/>
    <w:rsid w:val="703B3BFC"/>
    <w:rsid w:val="70456902"/>
    <w:rsid w:val="707F5B9B"/>
    <w:rsid w:val="70942EA5"/>
    <w:rsid w:val="70997CB9"/>
    <w:rsid w:val="70E16F85"/>
    <w:rsid w:val="70E9766E"/>
    <w:rsid w:val="7149409E"/>
    <w:rsid w:val="715E244A"/>
    <w:rsid w:val="71A11124"/>
    <w:rsid w:val="71A81171"/>
    <w:rsid w:val="72086A60"/>
    <w:rsid w:val="72313C64"/>
    <w:rsid w:val="728471C5"/>
    <w:rsid w:val="72870779"/>
    <w:rsid w:val="729D42B4"/>
    <w:rsid w:val="72CC087A"/>
    <w:rsid w:val="72D808DC"/>
    <w:rsid w:val="73797A10"/>
    <w:rsid w:val="739F00D5"/>
    <w:rsid w:val="73A15131"/>
    <w:rsid w:val="73A355B8"/>
    <w:rsid w:val="73AF1999"/>
    <w:rsid w:val="73BD0467"/>
    <w:rsid w:val="741241E7"/>
    <w:rsid w:val="7413358A"/>
    <w:rsid w:val="748337FF"/>
    <w:rsid w:val="74963132"/>
    <w:rsid w:val="74E124F8"/>
    <w:rsid w:val="750220D2"/>
    <w:rsid w:val="75045BF0"/>
    <w:rsid w:val="75102A61"/>
    <w:rsid w:val="75245482"/>
    <w:rsid w:val="75401680"/>
    <w:rsid w:val="755066F9"/>
    <w:rsid w:val="75666FB1"/>
    <w:rsid w:val="756F3A51"/>
    <w:rsid w:val="757C4F73"/>
    <w:rsid w:val="75971F2A"/>
    <w:rsid w:val="75B26173"/>
    <w:rsid w:val="75FB40F8"/>
    <w:rsid w:val="761927E9"/>
    <w:rsid w:val="76375C3E"/>
    <w:rsid w:val="763C34F6"/>
    <w:rsid w:val="764A1490"/>
    <w:rsid w:val="76617C75"/>
    <w:rsid w:val="767E34F8"/>
    <w:rsid w:val="76C82F33"/>
    <w:rsid w:val="770463F7"/>
    <w:rsid w:val="770F762E"/>
    <w:rsid w:val="77200316"/>
    <w:rsid w:val="772E1233"/>
    <w:rsid w:val="77787755"/>
    <w:rsid w:val="77816447"/>
    <w:rsid w:val="779F0FD7"/>
    <w:rsid w:val="77D902D4"/>
    <w:rsid w:val="77DB45A0"/>
    <w:rsid w:val="77F705F6"/>
    <w:rsid w:val="784A29E9"/>
    <w:rsid w:val="78503812"/>
    <w:rsid w:val="78661DB2"/>
    <w:rsid w:val="78A969EB"/>
    <w:rsid w:val="78C54FC9"/>
    <w:rsid w:val="78E17D27"/>
    <w:rsid w:val="78E439FC"/>
    <w:rsid w:val="78FB4529"/>
    <w:rsid w:val="790C3730"/>
    <w:rsid w:val="79100A4F"/>
    <w:rsid w:val="79110F3D"/>
    <w:rsid w:val="791453EC"/>
    <w:rsid w:val="791C2FC9"/>
    <w:rsid w:val="794021C2"/>
    <w:rsid w:val="79B5163A"/>
    <w:rsid w:val="7A072E1B"/>
    <w:rsid w:val="7A0F12E6"/>
    <w:rsid w:val="7A443267"/>
    <w:rsid w:val="7A577903"/>
    <w:rsid w:val="7A824C3A"/>
    <w:rsid w:val="7A995079"/>
    <w:rsid w:val="7AC66A82"/>
    <w:rsid w:val="7AD756EB"/>
    <w:rsid w:val="7B022868"/>
    <w:rsid w:val="7B14763E"/>
    <w:rsid w:val="7B3103E1"/>
    <w:rsid w:val="7B7219E0"/>
    <w:rsid w:val="7B7E01AB"/>
    <w:rsid w:val="7BA638DF"/>
    <w:rsid w:val="7BC7231A"/>
    <w:rsid w:val="7BE26258"/>
    <w:rsid w:val="7BEA7F06"/>
    <w:rsid w:val="7BF9077D"/>
    <w:rsid w:val="7C1576DC"/>
    <w:rsid w:val="7C461BA7"/>
    <w:rsid w:val="7C5E1C3D"/>
    <w:rsid w:val="7C6F7A0C"/>
    <w:rsid w:val="7C730D95"/>
    <w:rsid w:val="7C811ABB"/>
    <w:rsid w:val="7C8A703A"/>
    <w:rsid w:val="7CAE04F0"/>
    <w:rsid w:val="7D064E42"/>
    <w:rsid w:val="7D1B7473"/>
    <w:rsid w:val="7D45083C"/>
    <w:rsid w:val="7D5246C3"/>
    <w:rsid w:val="7D575FA1"/>
    <w:rsid w:val="7D67651E"/>
    <w:rsid w:val="7D6E5376"/>
    <w:rsid w:val="7D885D6B"/>
    <w:rsid w:val="7D89468B"/>
    <w:rsid w:val="7D9B4F9A"/>
    <w:rsid w:val="7D9E0355"/>
    <w:rsid w:val="7DAE272E"/>
    <w:rsid w:val="7DC51FB6"/>
    <w:rsid w:val="7DE03C2C"/>
    <w:rsid w:val="7E3C48CF"/>
    <w:rsid w:val="7E43770C"/>
    <w:rsid w:val="7E6117B1"/>
    <w:rsid w:val="7E663717"/>
    <w:rsid w:val="7E6B77EA"/>
    <w:rsid w:val="7EC218D0"/>
    <w:rsid w:val="7F0021E6"/>
    <w:rsid w:val="7F3044F1"/>
    <w:rsid w:val="7F337095"/>
    <w:rsid w:val="7F397243"/>
    <w:rsid w:val="7F423106"/>
    <w:rsid w:val="7F496D35"/>
    <w:rsid w:val="7F5174E9"/>
    <w:rsid w:val="7F5F59BE"/>
    <w:rsid w:val="7F72403E"/>
    <w:rsid w:val="7F734F41"/>
    <w:rsid w:val="7FBE0D3C"/>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unhideWhenUsed/>
    <w:qFormat/>
    <w:uiPriority w:val="1"/>
  </w:style>
  <w:style w:type="table" w:default="1" w:styleId="34">
    <w:name w:val="Normal Table"/>
    <w:unhideWhenUsed/>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snapToGrid w:val="0"/>
    </w:pPr>
  </w:style>
  <w:style w:type="paragraph" w:styleId="23">
    <w:name w:val="header"/>
    <w:basedOn w:val="1"/>
    <w:link w:val="51"/>
    <w:qFormat/>
    <w:uiPriority w:val="0"/>
    <w:pPr>
      <w:widowControl w:val="0"/>
      <w:spacing w:after="200" w:line="276" w:lineRule="auto"/>
    </w:pPr>
    <w:rPr>
      <w:rFonts w:ascii="Arial" w:hAnsi="Arial"/>
      <w:b/>
      <w:sz w:val="18"/>
      <w:lang w:val="en-US"/>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eastAsia="宋体"/>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1"/>
    <w:link w:val="63"/>
    <w:qFormat/>
    <w:uiPriority w:val="0"/>
    <w:pPr>
      <w:keepNext/>
      <w:keepLines/>
      <w:spacing w:after="0"/>
      <w:jc w:val="center"/>
    </w:pPr>
    <w:rPr>
      <w:rFonts w:ascii="Arial" w:hAnsi="Arial"/>
      <w:b/>
      <w:sz w:val="18"/>
      <w:lang w:eastAsia="ja-JP"/>
    </w:rPr>
  </w:style>
  <w:style w:type="character" w:customStyle="1" w:styleId="65">
    <w:name w:val="msoins"/>
    <w:basedOn w:val="28"/>
    <w:qFormat/>
    <w:uiPriority w:val="0"/>
  </w:style>
  <w:style w:type="character" w:customStyle="1" w:styleId="66">
    <w:name w:val="B2 Char1"/>
    <w:basedOn w:val="43"/>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7"/>
    <w:link w:val="69"/>
    <w:qFormat/>
    <w:uiPriority w:val="0"/>
    <w:rPr>
      <w:rFonts w:ascii="Arial" w:hAnsi="Arial"/>
      <w:sz w:val="18"/>
      <w:lang w:val="en-GB" w:eastAsia="en-GB" w:bidi="ar-SA"/>
    </w:rPr>
  </w:style>
  <w:style w:type="paragraph" w:customStyle="1" w:styleId="69">
    <w:name w:val="TAL + Left:  1"/>
    <w:basedOn w:val="48"/>
    <w:link w:val="68"/>
    <w:qFormat/>
    <w:uiPriority w:val="0"/>
    <w:pPr>
      <w:ind w:left="567"/>
    </w:pPr>
    <w:rPr>
      <w:lang w:eastAsia="en-GB"/>
    </w:rPr>
  </w:style>
  <w:style w:type="character" w:customStyle="1" w:styleId="70">
    <w:name w:val="header odd Char"/>
    <w:basedOn w:val="28"/>
    <w:qFormat/>
    <w:uiPriority w:val="0"/>
    <w:rPr>
      <w:lang w:val="en-GB" w:eastAsia="en-US" w:bidi="ar-SA"/>
    </w:rPr>
  </w:style>
  <w:style w:type="character" w:customStyle="1" w:styleId="71">
    <w:name w:val="B1 Char"/>
    <w:basedOn w:val="28"/>
    <w:qFormat/>
    <w:uiPriority w:val="0"/>
    <w:rPr>
      <w:rFonts w:ascii="Times New Roman" w:hAnsi="Times New Roman"/>
      <w:lang w:val="en-GB" w:eastAsia="en-US"/>
    </w:rPr>
  </w:style>
  <w:style w:type="character" w:customStyle="1" w:styleId="72">
    <w:name w:val="PL Char"/>
    <w:basedOn w:val="28"/>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75"/>
    <w:qFormat/>
    <w:uiPriority w:val="0"/>
    <w:rPr>
      <w:rFonts w:ascii="Arial" w:hAnsi="Arial" w:eastAsia="Times New Roman"/>
      <w:sz w:val="18"/>
      <w:lang w:val="en-GB" w:eastAsia="ja-JP"/>
    </w:rPr>
  </w:style>
  <w:style w:type="paragraph" w:customStyle="1" w:styleId="75">
    <w:name w:val="TAC"/>
    <w:basedOn w:val="48"/>
    <w:link w:val="74"/>
    <w:qFormat/>
    <w:uiPriority w:val="0"/>
    <w:pPr>
      <w:jc w:val="center"/>
    </w:p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eastAsia="Times New Roman" w:cs="Arial"/>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 w:type="paragraph" w:customStyle="1" w:styleId="110">
    <w:name w:val="_Style 9"/>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9DC96-1FEC-45B2-846D-3188A4D1326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727</Words>
  <Characters>4150</Characters>
  <Lines>34</Lines>
  <Paragraphs>9</Paragraphs>
  <TotalTime>0</TotalTime>
  <ScaleCrop>false</ScaleCrop>
  <LinksUpToDate>false</LinksUpToDate>
  <CharactersWithSpaces>4868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2019-03-29T14:40:00Z</dcterms:created>
  <dc:creator>ZTE</dc:creator>
  <cp:lastModifiedBy>ZTE</cp:lastModifiedBy>
  <cp:lastPrinted>2011-10-28T07:16:00Z</cp:lastPrinted>
  <dcterms:modified xsi:type="dcterms:W3CDTF">2019-03-30T04:36:02Z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